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3B4F1" w14:textId="7E473766" w:rsidR="0014735F" w:rsidRDefault="0014735F" w:rsidP="0014735F">
      <w:pPr>
        <w:widowControl w:val="0"/>
        <w:spacing w:line="240" w:lineRule="atLeast"/>
        <w:jc w:val="both"/>
        <w:rPr>
          <w:rFonts w:cs="Arial"/>
        </w:rPr>
      </w:pPr>
    </w:p>
    <w:tbl>
      <w:tblPr>
        <w:tblW w:w="0" w:type="auto"/>
        <w:tblInd w:w="3" w:type="dxa"/>
        <w:tblLayout w:type="fixed"/>
        <w:tblCellMar>
          <w:left w:w="0" w:type="dxa"/>
          <w:right w:w="0" w:type="dxa"/>
        </w:tblCellMar>
        <w:tblLook w:val="0000" w:firstRow="0" w:lastRow="0" w:firstColumn="0" w:lastColumn="0" w:noHBand="0" w:noVBand="0"/>
      </w:tblPr>
      <w:tblGrid>
        <w:gridCol w:w="2092"/>
        <w:gridCol w:w="6656"/>
      </w:tblGrid>
      <w:tr w:rsidR="0014735F" w14:paraId="6359030C" w14:textId="77777777" w:rsidTr="00E90EE4">
        <w:tc>
          <w:tcPr>
            <w:tcW w:w="2092" w:type="dxa"/>
            <w:tcBorders>
              <w:top w:val="single" w:sz="6" w:space="0" w:color="auto"/>
              <w:left w:val="single" w:sz="2" w:space="0" w:color="auto"/>
              <w:bottom w:val="nil"/>
              <w:right w:val="nil"/>
            </w:tcBorders>
          </w:tcPr>
          <w:p w14:paraId="511143A3" w14:textId="77777777" w:rsidR="0014735F" w:rsidRDefault="0014735F" w:rsidP="00E90EE4">
            <w:pPr>
              <w:widowControl w:val="0"/>
              <w:tabs>
                <w:tab w:val="left" w:pos="8840"/>
              </w:tabs>
              <w:spacing w:line="240" w:lineRule="atLeast"/>
              <w:jc w:val="both"/>
              <w:rPr>
                <w:rFonts w:cs="Arial"/>
                <w:b/>
                <w:bCs/>
              </w:rPr>
            </w:pPr>
            <w:r>
              <w:rPr>
                <w:rFonts w:cs="Arial"/>
              </w:rPr>
              <w:t>DEPENDENCIA:</w:t>
            </w:r>
            <w:r>
              <w:rPr>
                <w:rFonts w:cs="Arial"/>
                <w:b/>
                <w:bCs/>
              </w:rPr>
              <w:t xml:space="preserve"> </w:t>
            </w:r>
          </w:p>
        </w:tc>
        <w:tc>
          <w:tcPr>
            <w:tcW w:w="6656" w:type="dxa"/>
            <w:tcBorders>
              <w:top w:val="single" w:sz="6" w:space="0" w:color="auto"/>
              <w:left w:val="single" w:sz="6" w:space="0" w:color="auto"/>
              <w:bottom w:val="nil"/>
              <w:right w:val="single" w:sz="2" w:space="0" w:color="auto"/>
            </w:tcBorders>
          </w:tcPr>
          <w:p w14:paraId="1E5CA600" w14:textId="77777777" w:rsidR="0014735F" w:rsidRDefault="0014735F" w:rsidP="00E90EE4">
            <w:pPr>
              <w:widowControl w:val="0"/>
              <w:jc w:val="both"/>
              <w:rPr>
                <w:rFonts w:cs="Arial"/>
                <w:b/>
                <w:bCs/>
              </w:rPr>
            </w:pPr>
            <w:r>
              <w:rPr>
                <w:rFonts w:cs="Arial"/>
                <w:b/>
                <w:bCs/>
              </w:rPr>
              <w:t xml:space="preserve"> OFICINA DE CONTROL DISCIPLINARIO </w:t>
            </w:r>
          </w:p>
        </w:tc>
      </w:tr>
      <w:tr w:rsidR="0014735F" w14:paraId="04E2273F" w14:textId="77777777" w:rsidTr="00E90EE4">
        <w:tc>
          <w:tcPr>
            <w:tcW w:w="2092" w:type="dxa"/>
            <w:tcBorders>
              <w:top w:val="single" w:sz="6" w:space="0" w:color="auto"/>
              <w:left w:val="single" w:sz="2" w:space="0" w:color="auto"/>
              <w:bottom w:val="nil"/>
              <w:right w:val="nil"/>
            </w:tcBorders>
          </w:tcPr>
          <w:p w14:paraId="68D6D446" w14:textId="77777777" w:rsidR="0014735F" w:rsidRDefault="0014735F" w:rsidP="00E90EE4">
            <w:pPr>
              <w:widowControl w:val="0"/>
              <w:tabs>
                <w:tab w:val="left" w:pos="8840"/>
              </w:tabs>
              <w:spacing w:line="240" w:lineRule="atLeast"/>
              <w:jc w:val="both"/>
              <w:rPr>
                <w:rFonts w:cs="Arial"/>
              </w:rPr>
            </w:pPr>
            <w:r>
              <w:rPr>
                <w:rFonts w:cs="Arial"/>
              </w:rPr>
              <w:t xml:space="preserve">RADICACIÓN: </w:t>
            </w:r>
          </w:p>
        </w:tc>
        <w:tc>
          <w:tcPr>
            <w:tcW w:w="6656" w:type="dxa"/>
            <w:tcBorders>
              <w:top w:val="single" w:sz="6" w:space="0" w:color="auto"/>
              <w:left w:val="single" w:sz="6" w:space="0" w:color="auto"/>
              <w:bottom w:val="nil"/>
              <w:right w:val="single" w:sz="2" w:space="0" w:color="auto"/>
            </w:tcBorders>
          </w:tcPr>
          <w:p w14:paraId="149A775F" w14:textId="77777777" w:rsidR="0014735F" w:rsidRDefault="0014735F" w:rsidP="00E90EE4">
            <w:pPr>
              <w:widowControl w:val="0"/>
              <w:jc w:val="both"/>
              <w:rPr>
                <w:rFonts w:cs="Arial"/>
              </w:rPr>
            </w:pPr>
          </w:p>
        </w:tc>
      </w:tr>
      <w:tr w:rsidR="0014735F" w14:paraId="45CD107A" w14:textId="77777777" w:rsidTr="00E90EE4">
        <w:tc>
          <w:tcPr>
            <w:tcW w:w="2092" w:type="dxa"/>
            <w:tcBorders>
              <w:top w:val="single" w:sz="6" w:space="0" w:color="auto"/>
              <w:left w:val="single" w:sz="2" w:space="0" w:color="auto"/>
              <w:bottom w:val="nil"/>
              <w:right w:val="nil"/>
            </w:tcBorders>
          </w:tcPr>
          <w:p w14:paraId="7308440C" w14:textId="77777777" w:rsidR="0014735F" w:rsidRDefault="0014735F" w:rsidP="00E90EE4">
            <w:pPr>
              <w:widowControl w:val="0"/>
              <w:tabs>
                <w:tab w:val="left" w:pos="8840"/>
              </w:tabs>
              <w:spacing w:line="240" w:lineRule="atLeast"/>
              <w:jc w:val="both"/>
              <w:rPr>
                <w:rFonts w:cs="Arial"/>
              </w:rPr>
            </w:pPr>
            <w:r>
              <w:rPr>
                <w:rFonts w:cs="Arial"/>
              </w:rPr>
              <w:t xml:space="preserve">INVESTIGADO(A): </w:t>
            </w:r>
          </w:p>
        </w:tc>
        <w:tc>
          <w:tcPr>
            <w:tcW w:w="6656" w:type="dxa"/>
            <w:tcBorders>
              <w:top w:val="single" w:sz="6" w:space="0" w:color="auto"/>
              <w:left w:val="single" w:sz="6" w:space="0" w:color="auto"/>
              <w:bottom w:val="nil"/>
              <w:right w:val="single" w:sz="2" w:space="0" w:color="auto"/>
            </w:tcBorders>
          </w:tcPr>
          <w:p w14:paraId="1F2767FD" w14:textId="77777777" w:rsidR="0014735F" w:rsidRDefault="0014735F" w:rsidP="00E90EE4">
            <w:pPr>
              <w:widowControl w:val="0"/>
              <w:jc w:val="both"/>
              <w:rPr>
                <w:rFonts w:cs="Arial"/>
              </w:rPr>
            </w:pPr>
            <w:r>
              <w:rPr>
                <w:rFonts w:cs="Arial"/>
              </w:rPr>
              <w:t>(Nombres y apellidos)</w:t>
            </w:r>
          </w:p>
        </w:tc>
      </w:tr>
      <w:tr w:rsidR="0014735F" w14:paraId="5386936E" w14:textId="77777777" w:rsidTr="00E90EE4">
        <w:tc>
          <w:tcPr>
            <w:tcW w:w="2092" w:type="dxa"/>
            <w:tcBorders>
              <w:top w:val="single" w:sz="6" w:space="0" w:color="auto"/>
              <w:left w:val="single" w:sz="2" w:space="0" w:color="auto"/>
              <w:bottom w:val="nil"/>
              <w:right w:val="nil"/>
            </w:tcBorders>
          </w:tcPr>
          <w:p w14:paraId="66FE01AB" w14:textId="77777777" w:rsidR="0014735F" w:rsidRDefault="0014735F" w:rsidP="00E90EE4">
            <w:pPr>
              <w:widowControl w:val="0"/>
              <w:tabs>
                <w:tab w:val="left" w:pos="8840"/>
              </w:tabs>
              <w:spacing w:line="240" w:lineRule="atLeast"/>
              <w:jc w:val="both"/>
              <w:rPr>
                <w:rFonts w:cs="Arial"/>
              </w:rPr>
            </w:pPr>
            <w:r>
              <w:rPr>
                <w:rFonts w:cs="Arial"/>
              </w:rPr>
              <w:t xml:space="preserve">CARGO: </w:t>
            </w:r>
          </w:p>
        </w:tc>
        <w:tc>
          <w:tcPr>
            <w:tcW w:w="6656" w:type="dxa"/>
            <w:tcBorders>
              <w:top w:val="single" w:sz="6" w:space="0" w:color="auto"/>
              <w:left w:val="single" w:sz="6" w:space="0" w:color="auto"/>
              <w:bottom w:val="nil"/>
              <w:right w:val="single" w:sz="2" w:space="0" w:color="auto"/>
            </w:tcBorders>
          </w:tcPr>
          <w:p w14:paraId="3992E5CC" w14:textId="77777777" w:rsidR="0014735F" w:rsidRDefault="0014735F" w:rsidP="00E90EE4">
            <w:pPr>
              <w:widowControl w:val="0"/>
              <w:jc w:val="both"/>
              <w:rPr>
                <w:rFonts w:cs="Arial"/>
              </w:rPr>
            </w:pPr>
            <w:r>
              <w:rPr>
                <w:rFonts w:cs="Arial"/>
              </w:rPr>
              <w:t>(cargo)</w:t>
            </w:r>
          </w:p>
        </w:tc>
      </w:tr>
      <w:tr w:rsidR="0014735F" w14:paraId="3FD95ABF" w14:textId="77777777" w:rsidTr="00E90EE4">
        <w:tc>
          <w:tcPr>
            <w:tcW w:w="2092" w:type="dxa"/>
            <w:tcBorders>
              <w:top w:val="single" w:sz="6" w:space="0" w:color="auto"/>
              <w:left w:val="single" w:sz="2" w:space="0" w:color="auto"/>
              <w:bottom w:val="nil"/>
              <w:right w:val="nil"/>
            </w:tcBorders>
          </w:tcPr>
          <w:p w14:paraId="6CD2D85F" w14:textId="77777777" w:rsidR="0014735F" w:rsidRDefault="0014735F" w:rsidP="00E90EE4">
            <w:pPr>
              <w:widowControl w:val="0"/>
              <w:tabs>
                <w:tab w:val="left" w:pos="8840"/>
              </w:tabs>
              <w:spacing w:line="240" w:lineRule="atLeast"/>
              <w:jc w:val="both"/>
              <w:rPr>
                <w:rFonts w:cs="Arial"/>
              </w:rPr>
            </w:pPr>
            <w:r>
              <w:rPr>
                <w:rFonts w:cs="Arial"/>
              </w:rPr>
              <w:t xml:space="preserve">ENTIDAD: </w:t>
            </w:r>
          </w:p>
        </w:tc>
        <w:tc>
          <w:tcPr>
            <w:tcW w:w="6656" w:type="dxa"/>
            <w:tcBorders>
              <w:top w:val="single" w:sz="6" w:space="0" w:color="auto"/>
              <w:left w:val="single" w:sz="6" w:space="0" w:color="auto"/>
              <w:bottom w:val="nil"/>
              <w:right w:val="single" w:sz="2" w:space="0" w:color="auto"/>
            </w:tcBorders>
          </w:tcPr>
          <w:p w14:paraId="6FC3A68D" w14:textId="77777777" w:rsidR="0014735F" w:rsidRDefault="0014735F" w:rsidP="00E90EE4">
            <w:pPr>
              <w:widowControl w:val="0"/>
              <w:jc w:val="both"/>
              <w:rPr>
                <w:rFonts w:cs="Arial"/>
              </w:rPr>
            </w:pPr>
            <w:r>
              <w:rPr>
                <w:rFonts w:cs="Arial"/>
              </w:rPr>
              <w:t>(entidad)</w:t>
            </w:r>
          </w:p>
        </w:tc>
        <w:bookmarkStart w:id="0" w:name="_GoBack"/>
        <w:bookmarkEnd w:id="0"/>
      </w:tr>
      <w:tr w:rsidR="0014735F" w14:paraId="475082A8" w14:textId="77777777" w:rsidTr="00E90EE4">
        <w:tc>
          <w:tcPr>
            <w:tcW w:w="2092" w:type="dxa"/>
            <w:tcBorders>
              <w:top w:val="single" w:sz="6" w:space="0" w:color="auto"/>
              <w:left w:val="single" w:sz="2" w:space="0" w:color="auto"/>
              <w:bottom w:val="nil"/>
              <w:right w:val="nil"/>
            </w:tcBorders>
          </w:tcPr>
          <w:p w14:paraId="107B1E0B" w14:textId="77777777" w:rsidR="0014735F" w:rsidRDefault="0014735F" w:rsidP="00E90EE4">
            <w:pPr>
              <w:widowControl w:val="0"/>
              <w:tabs>
                <w:tab w:val="left" w:pos="8840"/>
              </w:tabs>
              <w:spacing w:line="240" w:lineRule="atLeast"/>
              <w:jc w:val="both"/>
              <w:rPr>
                <w:rFonts w:cs="Arial"/>
              </w:rPr>
            </w:pPr>
            <w:r>
              <w:rPr>
                <w:rFonts w:cs="Arial"/>
              </w:rPr>
              <w:t>HECHOS:</w:t>
            </w:r>
          </w:p>
        </w:tc>
        <w:tc>
          <w:tcPr>
            <w:tcW w:w="6656" w:type="dxa"/>
            <w:tcBorders>
              <w:top w:val="single" w:sz="6" w:space="0" w:color="auto"/>
              <w:left w:val="single" w:sz="6" w:space="0" w:color="auto"/>
              <w:bottom w:val="nil"/>
              <w:right w:val="single" w:sz="2" w:space="0" w:color="auto"/>
            </w:tcBorders>
          </w:tcPr>
          <w:p w14:paraId="5E3C3881" w14:textId="77777777" w:rsidR="0014735F" w:rsidRDefault="0014735F" w:rsidP="00E90EE4">
            <w:pPr>
              <w:widowControl w:val="0"/>
              <w:jc w:val="both"/>
              <w:rPr>
                <w:rFonts w:cs="Arial"/>
              </w:rPr>
            </w:pPr>
          </w:p>
        </w:tc>
      </w:tr>
      <w:tr w:rsidR="0014735F" w14:paraId="683F923D" w14:textId="77777777" w:rsidTr="00E90EE4">
        <w:tc>
          <w:tcPr>
            <w:tcW w:w="2092" w:type="dxa"/>
            <w:tcBorders>
              <w:top w:val="single" w:sz="6" w:space="0" w:color="auto"/>
              <w:left w:val="single" w:sz="2" w:space="0" w:color="auto"/>
              <w:bottom w:val="nil"/>
              <w:right w:val="nil"/>
            </w:tcBorders>
          </w:tcPr>
          <w:p w14:paraId="76B1400B" w14:textId="77777777" w:rsidR="0014735F" w:rsidRDefault="0014735F" w:rsidP="00E90EE4">
            <w:pPr>
              <w:widowControl w:val="0"/>
              <w:tabs>
                <w:tab w:val="left" w:pos="8840"/>
              </w:tabs>
              <w:spacing w:line="240" w:lineRule="atLeast"/>
              <w:jc w:val="both"/>
              <w:rPr>
                <w:rFonts w:cs="Arial"/>
              </w:rPr>
            </w:pPr>
            <w:r>
              <w:rPr>
                <w:rFonts w:cs="Arial"/>
              </w:rPr>
              <w:t xml:space="preserve">QUEJOSO(A): </w:t>
            </w:r>
          </w:p>
        </w:tc>
        <w:tc>
          <w:tcPr>
            <w:tcW w:w="6656" w:type="dxa"/>
            <w:tcBorders>
              <w:top w:val="single" w:sz="6" w:space="0" w:color="auto"/>
              <w:left w:val="single" w:sz="6" w:space="0" w:color="auto"/>
              <w:bottom w:val="nil"/>
              <w:right w:val="single" w:sz="2" w:space="0" w:color="auto"/>
            </w:tcBorders>
          </w:tcPr>
          <w:p w14:paraId="08F2DE1C" w14:textId="77777777" w:rsidR="0014735F" w:rsidRDefault="0014735F" w:rsidP="00E90EE4">
            <w:pPr>
              <w:widowControl w:val="0"/>
              <w:jc w:val="both"/>
              <w:rPr>
                <w:rFonts w:cs="Arial"/>
              </w:rPr>
            </w:pPr>
            <w:r>
              <w:rPr>
                <w:rFonts w:cs="Arial"/>
              </w:rPr>
              <w:t>Nombres y apellidos)</w:t>
            </w:r>
          </w:p>
        </w:tc>
      </w:tr>
      <w:tr w:rsidR="0014735F" w14:paraId="089237B1" w14:textId="77777777" w:rsidTr="00E90EE4">
        <w:tc>
          <w:tcPr>
            <w:tcW w:w="2092" w:type="dxa"/>
            <w:tcBorders>
              <w:top w:val="single" w:sz="6" w:space="0" w:color="auto"/>
              <w:left w:val="single" w:sz="2" w:space="0" w:color="auto"/>
              <w:bottom w:val="single" w:sz="6" w:space="0" w:color="auto"/>
              <w:right w:val="nil"/>
            </w:tcBorders>
          </w:tcPr>
          <w:p w14:paraId="69DA2598" w14:textId="77777777" w:rsidR="0014735F" w:rsidRDefault="0014735F" w:rsidP="00E90EE4">
            <w:pPr>
              <w:widowControl w:val="0"/>
              <w:tabs>
                <w:tab w:val="left" w:pos="8840"/>
              </w:tabs>
              <w:spacing w:line="240" w:lineRule="atLeast"/>
              <w:jc w:val="both"/>
              <w:rPr>
                <w:rFonts w:cs="Arial"/>
                <w:b/>
                <w:bCs/>
              </w:rPr>
            </w:pPr>
            <w:r>
              <w:rPr>
                <w:rFonts w:cs="Arial"/>
              </w:rPr>
              <w:t>ASUNTO.</w:t>
            </w:r>
            <w:r>
              <w:rPr>
                <w:rFonts w:cs="Arial"/>
                <w:b/>
                <w:bCs/>
              </w:rPr>
              <w:t xml:space="preserve"> </w:t>
            </w:r>
          </w:p>
        </w:tc>
        <w:tc>
          <w:tcPr>
            <w:tcW w:w="6656" w:type="dxa"/>
            <w:tcBorders>
              <w:top w:val="single" w:sz="6" w:space="0" w:color="auto"/>
              <w:left w:val="single" w:sz="6" w:space="0" w:color="auto"/>
              <w:bottom w:val="single" w:sz="6" w:space="0" w:color="auto"/>
              <w:right w:val="single" w:sz="2" w:space="0" w:color="auto"/>
            </w:tcBorders>
          </w:tcPr>
          <w:p w14:paraId="70E12696" w14:textId="466D91F3" w:rsidR="0014735F" w:rsidRDefault="00552CFC" w:rsidP="00552CFC">
            <w:pPr>
              <w:widowControl w:val="0"/>
              <w:jc w:val="both"/>
              <w:rPr>
                <w:rFonts w:cs="Arial"/>
                <w:b/>
                <w:bCs/>
              </w:rPr>
            </w:pPr>
            <w:r>
              <w:rPr>
                <w:rFonts w:cs="Arial"/>
              </w:rPr>
              <w:t>Solicitud de Nulidad - Artículo 206 Ley 1952 de 2019</w:t>
            </w:r>
          </w:p>
        </w:tc>
      </w:tr>
    </w:tbl>
    <w:p w14:paraId="11D92C82" w14:textId="77777777" w:rsidR="0014735F" w:rsidRPr="004C276C" w:rsidRDefault="0014735F" w:rsidP="00C754DA">
      <w:pPr>
        <w:jc w:val="both"/>
        <w:rPr>
          <w:rFonts w:cs="Arial"/>
          <w:b/>
          <w:szCs w:val="24"/>
          <w:u w:val="single"/>
          <w:lang w:val="es-ES"/>
        </w:rPr>
      </w:pPr>
    </w:p>
    <w:p w14:paraId="562FFCD0" w14:textId="541A23A1" w:rsidR="00C754DA" w:rsidRPr="0014735F" w:rsidRDefault="00C754DA" w:rsidP="00964EFE">
      <w:pPr>
        <w:tabs>
          <w:tab w:val="left" w:pos="6045"/>
        </w:tabs>
        <w:jc w:val="both"/>
        <w:rPr>
          <w:rFonts w:cs="Arial"/>
          <w:b/>
          <w:szCs w:val="24"/>
          <w:lang w:val="es-ES"/>
        </w:rPr>
      </w:pPr>
      <w:r w:rsidRPr="0014735F">
        <w:rPr>
          <w:rFonts w:cs="Arial"/>
          <w:b/>
          <w:szCs w:val="24"/>
          <w:lang w:val="es-ES"/>
        </w:rPr>
        <w:t xml:space="preserve">IBAGUE, </w:t>
      </w:r>
      <w:r w:rsidR="00964EFE" w:rsidRPr="0014735F">
        <w:rPr>
          <w:rFonts w:cs="Arial"/>
          <w:b/>
          <w:szCs w:val="24"/>
          <w:lang w:val="es-ES"/>
        </w:rPr>
        <w:tab/>
      </w:r>
    </w:p>
    <w:p w14:paraId="0A0295E7" w14:textId="77777777" w:rsidR="00C754DA" w:rsidRPr="0014735F" w:rsidRDefault="00C754DA" w:rsidP="00C754DA">
      <w:pPr>
        <w:jc w:val="both"/>
        <w:rPr>
          <w:rFonts w:cs="Arial"/>
          <w:b/>
          <w:szCs w:val="24"/>
          <w:lang w:val="es-ES"/>
        </w:rPr>
      </w:pPr>
    </w:p>
    <w:p w14:paraId="203D6655" w14:textId="77777777" w:rsidR="00C754DA" w:rsidRPr="0014735F" w:rsidRDefault="00C754DA" w:rsidP="00C754DA">
      <w:pPr>
        <w:ind w:left="360"/>
        <w:jc w:val="right"/>
        <w:rPr>
          <w:rFonts w:cs="Arial"/>
          <w:b/>
          <w:szCs w:val="24"/>
          <w:u w:val="single"/>
          <w:lang w:val="es-ES"/>
        </w:rPr>
      </w:pPr>
    </w:p>
    <w:p w14:paraId="6E8B932F" w14:textId="22E75983" w:rsidR="00C754DA" w:rsidRPr="0014735F" w:rsidRDefault="00C754DA" w:rsidP="00C754DA">
      <w:pPr>
        <w:ind w:right="-374"/>
        <w:jc w:val="both"/>
        <w:rPr>
          <w:rFonts w:eastAsia="Calibri" w:cs="Arial"/>
          <w:szCs w:val="24"/>
          <w:lang w:val="es-CO"/>
        </w:rPr>
      </w:pPr>
      <w:r w:rsidRPr="0014735F">
        <w:rPr>
          <w:rFonts w:eastAsia="Calibri" w:cs="Arial"/>
          <w:szCs w:val="24"/>
          <w:lang w:val="es-CO"/>
        </w:rPr>
        <w:t xml:space="preserve">El </w:t>
      </w:r>
      <w:r w:rsidR="00D32B3B">
        <w:rPr>
          <w:rFonts w:eastAsia="Calibri" w:cs="Arial"/>
          <w:szCs w:val="24"/>
          <w:lang w:val="es-CO"/>
        </w:rPr>
        <w:t>s</w:t>
      </w:r>
      <w:r w:rsidRPr="0014735F">
        <w:rPr>
          <w:rFonts w:eastAsia="Calibri" w:cs="Arial"/>
          <w:szCs w:val="24"/>
          <w:lang w:val="es-CO"/>
        </w:rPr>
        <w:t xml:space="preserve">uscrito </w:t>
      </w:r>
      <w:r w:rsidR="00330DC5">
        <w:rPr>
          <w:rFonts w:eastAsia="Calibri" w:cs="Arial"/>
          <w:szCs w:val="24"/>
          <w:lang w:val="es-CO"/>
        </w:rPr>
        <w:t>Profesional universitario 219-02 con funciones de</w:t>
      </w:r>
      <w:r w:rsidR="00D32B3B">
        <w:rPr>
          <w:rFonts w:eastAsia="Calibri" w:cs="Arial"/>
          <w:szCs w:val="24"/>
          <w:lang w:val="es-CO"/>
        </w:rPr>
        <w:t xml:space="preserve"> instrucción/ Jefe de </w:t>
      </w:r>
      <w:r w:rsidR="0014735F">
        <w:rPr>
          <w:rFonts w:eastAsia="Calibri" w:cs="Arial"/>
          <w:szCs w:val="24"/>
          <w:lang w:val="es-CO"/>
        </w:rPr>
        <w:t xml:space="preserve">la Oficina </w:t>
      </w:r>
      <w:r w:rsidRPr="0014735F">
        <w:rPr>
          <w:rFonts w:eastAsia="Calibri" w:cs="Arial"/>
          <w:szCs w:val="24"/>
          <w:lang w:val="es-CO"/>
        </w:rPr>
        <w:t>de</w:t>
      </w:r>
      <w:r w:rsidR="0014735F">
        <w:rPr>
          <w:rFonts w:eastAsia="Calibri" w:cs="Arial"/>
          <w:szCs w:val="24"/>
          <w:lang w:val="es-CO"/>
        </w:rPr>
        <w:t xml:space="preserve"> Control </w:t>
      </w:r>
      <w:r w:rsidRPr="0014735F">
        <w:rPr>
          <w:rFonts w:eastAsia="Calibri" w:cs="Arial"/>
          <w:szCs w:val="24"/>
          <w:lang w:val="es-CO"/>
        </w:rPr>
        <w:t xml:space="preserve">Disciplinario de </w:t>
      </w:r>
      <w:r w:rsidR="0014735F">
        <w:rPr>
          <w:rFonts w:eastAsia="Calibri" w:cs="Arial"/>
          <w:szCs w:val="24"/>
          <w:lang w:val="es-CO"/>
        </w:rPr>
        <w:t>INFIBAGUÉ</w:t>
      </w:r>
      <w:r w:rsidR="00330DC5">
        <w:rPr>
          <w:rFonts w:eastAsia="Calibri" w:cs="Arial"/>
          <w:szCs w:val="24"/>
          <w:lang w:val="es-CO"/>
        </w:rPr>
        <w:t xml:space="preserve"> (</w:t>
      </w:r>
      <w:r w:rsidR="00330DC5">
        <w:rPr>
          <w:rFonts w:eastAsia="Calibri" w:cs="Arial"/>
          <w:i/>
          <w:szCs w:val="24"/>
          <w:lang w:val="es-CO"/>
        </w:rPr>
        <w:t>depende la fase en que se solicite la nulidad</w:t>
      </w:r>
      <w:r w:rsidR="00330DC5">
        <w:rPr>
          <w:rFonts w:eastAsia="Calibri" w:cs="Arial"/>
          <w:szCs w:val="24"/>
          <w:lang w:val="es-CO"/>
        </w:rPr>
        <w:t>)</w:t>
      </w:r>
      <w:r w:rsidRPr="0014735F">
        <w:rPr>
          <w:rFonts w:eastAsia="Calibri" w:cs="Arial"/>
          <w:szCs w:val="24"/>
          <w:lang w:val="es-CO"/>
        </w:rPr>
        <w:t xml:space="preserve">, con fundamento en lo establecido en los artículos 93 y 94 de la Ley 1952 </w:t>
      </w:r>
      <w:r w:rsidR="009F78B9" w:rsidRPr="0014735F">
        <w:rPr>
          <w:rFonts w:eastAsia="Calibri" w:cs="Arial"/>
          <w:szCs w:val="24"/>
          <w:lang w:val="es-CO"/>
        </w:rPr>
        <w:t xml:space="preserve">de </w:t>
      </w:r>
      <w:r w:rsidRPr="0014735F">
        <w:rPr>
          <w:rFonts w:eastAsia="Calibri" w:cs="Arial"/>
          <w:szCs w:val="24"/>
          <w:lang w:val="es-CO"/>
        </w:rPr>
        <w:t>2019</w:t>
      </w:r>
      <w:r w:rsidR="00A00DF9" w:rsidRPr="0014735F">
        <w:rPr>
          <w:rFonts w:eastAsia="Calibri" w:cs="Arial"/>
          <w:szCs w:val="24"/>
          <w:lang w:val="es-CO"/>
        </w:rPr>
        <w:t xml:space="preserve">, </w:t>
      </w:r>
      <w:r w:rsidRPr="0014735F">
        <w:rPr>
          <w:rFonts w:eastAsia="Calibri" w:cs="Arial"/>
          <w:szCs w:val="24"/>
          <w:lang w:val="es-ES"/>
        </w:rPr>
        <w:t>procede a evaluar la solicitud de Pruebas hechas por los sujetos procesales en los términos del artículo 225C de CGD;</w:t>
      </w:r>
    </w:p>
    <w:p w14:paraId="7B9A56C6" w14:textId="77777777" w:rsidR="00C754DA" w:rsidRPr="0014735F" w:rsidRDefault="00C754DA" w:rsidP="00C754DA">
      <w:pPr>
        <w:ind w:right="-374"/>
        <w:jc w:val="both"/>
        <w:rPr>
          <w:rFonts w:cs="Arial"/>
          <w:bCs/>
          <w:iCs/>
          <w:szCs w:val="24"/>
        </w:rPr>
      </w:pPr>
    </w:p>
    <w:p w14:paraId="6AFFEEED" w14:textId="77777777" w:rsidR="00C754DA" w:rsidRPr="0014735F" w:rsidRDefault="00C754DA" w:rsidP="00C754DA">
      <w:pPr>
        <w:ind w:right="-374"/>
        <w:rPr>
          <w:rFonts w:eastAsia="Calibri" w:cs="Arial"/>
          <w:szCs w:val="24"/>
          <w:vertAlign w:val="superscript"/>
          <w:lang w:val="es-CO"/>
        </w:rPr>
      </w:pPr>
    </w:p>
    <w:p w14:paraId="777DE3D2" w14:textId="77777777" w:rsidR="00C754DA" w:rsidRPr="0014735F" w:rsidRDefault="00C754DA" w:rsidP="00C754DA">
      <w:pPr>
        <w:numPr>
          <w:ilvl w:val="0"/>
          <w:numId w:val="2"/>
        </w:numPr>
        <w:overflowPunct/>
        <w:autoSpaceDE/>
        <w:autoSpaceDN/>
        <w:adjustRightInd/>
        <w:ind w:right="-374"/>
        <w:jc w:val="center"/>
        <w:textAlignment w:val="auto"/>
        <w:rPr>
          <w:rFonts w:cs="Arial"/>
          <w:b/>
          <w:szCs w:val="24"/>
        </w:rPr>
      </w:pPr>
      <w:r w:rsidRPr="0014735F">
        <w:rPr>
          <w:rFonts w:cs="Arial"/>
          <w:b/>
          <w:szCs w:val="24"/>
        </w:rPr>
        <w:t>ANTECEDENTES</w:t>
      </w:r>
    </w:p>
    <w:p w14:paraId="3399D485" w14:textId="77777777" w:rsidR="00C754DA" w:rsidRPr="0014735F" w:rsidRDefault="00C754DA" w:rsidP="00C754DA">
      <w:pPr>
        <w:ind w:right="-374"/>
        <w:rPr>
          <w:rFonts w:eastAsia="Calibri" w:cs="Arial"/>
          <w:szCs w:val="24"/>
          <w:lang w:val="es-ES"/>
        </w:rPr>
      </w:pPr>
    </w:p>
    <w:p w14:paraId="2F7AB514" w14:textId="10A0BAEE" w:rsidR="00C754DA" w:rsidRPr="0014735F" w:rsidRDefault="0014735F" w:rsidP="00C754DA">
      <w:pPr>
        <w:ind w:right="-374"/>
        <w:jc w:val="both"/>
        <w:rPr>
          <w:rFonts w:eastAsia="Calibri" w:cs="Arial"/>
          <w:szCs w:val="24"/>
          <w:lang w:val="es-CO"/>
        </w:rPr>
      </w:pPr>
      <w:r>
        <w:rPr>
          <w:rFonts w:eastAsia="Calibri" w:cs="Arial"/>
          <w:szCs w:val="24"/>
          <w:lang w:val="es-CO"/>
        </w:rPr>
        <w:t>A través del Auto del___</w:t>
      </w:r>
      <w:r w:rsidR="00C754DA" w:rsidRPr="0014735F">
        <w:rPr>
          <w:rFonts w:eastAsia="Calibri" w:cs="Arial"/>
          <w:szCs w:val="24"/>
          <w:lang w:val="es-CO"/>
        </w:rPr>
        <w:t xml:space="preserve"> de </w:t>
      </w:r>
      <w:r>
        <w:rPr>
          <w:rFonts w:eastAsia="Calibri" w:cs="Arial"/>
          <w:szCs w:val="24"/>
          <w:lang w:val="es-CO"/>
        </w:rPr>
        <w:t>___</w:t>
      </w:r>
      <w:r w:rsidR="00C754DA" w:rsidRPr="0014735F">
        <w:rPr>
          <w:rFonts w:eastAsia="Calibri" w:cs="Arial"/>
          <w:szCs w:val="24"/>
          <w:lang w:val="es-CO"/>
        </w:rPr>
        <w:t xml:space="preserve"> de</w:t>
      </w:r>
      <w:r>
        <w:rPr>
          <w:rFonts w:eastAsia="Calibri" w:cs="Arial"/>
          <w:szCs w:val="24"/>
          <w:lang w:val="es-CO"/>
        </w:rPr>
        <w:t>l</w:t>
      </w:r>
      <w:r w:rsidR="00C754DA" w:rsidRPr="0014735F">
        <w:rPr>
          <w:rFonts w:eastAsia="Calibri" w:cs="Arial"/>
          <w:szCs w:val="24"/>
          <w:lang w:val="es-CO"/>
        </w:rPr>
        <w:t xml:space="preserve"> 20</w:t>
      </w:r>
      <w:r w:rsidR="00330DC5">
        <w:rPr>
          <w:rFonts w:eastAsia="Calibri" w:cs="Arial"/>
          <w:szCs w:val="24"/>
          <w:lang w:val="es-CO"/>
        </w:rPr>
        <w:t>2X</w:t>
      </w:r>
      <w:r w:rsidR="00C754DA" w:rsidRPr="0014735F">
        <w:rPr>
          <w:rFonts w:eastAsia="Calibri" w:cs="Arial"/>
          <w:szCs w:val="24"/>
          <w:lang w:val="es-CO"/>
        </w:rPr>
        <w:t xml:space="preserve"> militante en los </w:t>
      </w:r>
      <w:proofErr w:type="spellStart"/>
      <w:r w:rsidR="00C754DA" w:rsidRPr="0014735F">
        <w:rPr>
          <w:rFonts w:eastAsia="Calibri" w:cs="Arial"/>
          <w:szCs w:val="24"/>
          <w:lang w:val="es-CO"/>
        </w:rPr>
        <w:t>fls</w:t>
      </w:r>
      <w:proofErr w:type="spellEnd"/>
      <w:r w:rsidR="00C754DA" w:rsidRPr="0014735F">
        <w:rPr>
          <w:rFonts w:eastAsia="Calibri" w:cs="Arial"/>
          <w:szCs w:val="24"/>
          <w:lang w:val="es-CO"/>
        </w:rPr>
        <w:t xml:space="preserve">. </w:t>
      </w:r>
      <w:r>
        <w:rPr>
          <w:rFonts w:eastAsia="Calibri" w:cs="Arial"/>
          <w:szCs w:val="24"/>
          <w:lang w:val="es-CO"/>
        </w:rPr>
        <w:t>__</w:t>
      </w:r>
      <w:r w:rsidR="00C754DA" w:rsidRPr="0014735F">
        <w:rPr>
          <w:rFonts w:eastAsia="Calibri" w:cs="Arial"/>
          <w:szCs w:val="24"/>
          <w:lang w:val="es-CO"/>
        </w:rPr>
        <w:t xml:space="preserve"> al </w:t>
      </w:r>
      <w:r>
        <w:rPr>
          <w:rFonts w:eastAsia="Calibri" w:cs="Arial"/>
          <w:szCs w:val="24"/>
          <w:lang w:val="es-CO"/>
        </w:rPr>
        <w:t>___</w:t>
      </w:r>
      <w:r w:rsidR="00C754DA" w:rsidRPr="0014735F">
        <w:rPr>
          <w:rFonts w:eastAsia="Calibri" w:cs="Arial"/>
          <w:szCs w:val="24"/>
          <w:lang w:val="es-CO"/>
        </w:rPr>
        <w:t xml:space="preserve">, el </w:t>
      </w:r>
      <w:r w:rsidR="00330DC5">
        <w:rPr>
          <w:rFonts w:eastAsia="Calibri" w:cs="Arial"/>
          <w:szCs w:val="24"/>
          <w:lang w:val="es-CO"/>
        </w:rPr>
        <w:t>Profesional universitario 219-02 con funciones de</w:t>
      </w:r>
      <w:r w:rsidR="00C754DA" w:rsidRPr="0014735F">
        <w:rPr>
          <w:rFonts w:eastAsia="Calibri" w:cs="Arial"/>
          <w:szCs w:val="24"/>
          <w:lang w:val="es-CO"/>
        </w:rPr>
        <w:t xml:space="preserve"> Instrucción Disciplinaria</w:t>
      </w:r>
      <w:r w:rsidR="00330DC5">
        <w:rPr>
          <w:rFonts w:eastAsia="Calibri" w:cs="Arial"/>
          <w:szCs w:val="24"/>
          <w:lang w:val="es-CO"/>
        </w:rPr>
        <w:t xml:space="preserve">/Jefe de la Oficina </w:t>
      </w:r>
      <w:r w:rsidR="00330DC5" w:rsidRPr="0014735F">
        <w:rPr>
          <w:rFonts w:eastAsia="Calibri" w:cs="Arial"/>
          <w:szCs w:val="24"/>
          <w:lang w:val="es-CO"/>
        </w:rPr>
        <w:t>de</w:t>
      </w:r>
      <w:r w:rsidR="00330DC5">
        <w:rPr>
          <w:rFonts w:eastAsia="Calibri" w:cs="Arial"/>
          <w:szCs w:val="24"/>
          <w:lang w:val="es-CO"/>
        </w:rPr>
        <w:t xml:space="preserve"> Control </w:t>
      </w:r>
      <w:r w:rsidR="00330DC5" w:rsidRPr="0014735F">
        <w:rPr>
          <w:rFonts w:eastAsia="Calibri" w:cs="Arial"/>
          <w:szCs w:val="24"/>
          <w:lang w:val="es-CO"/>
        </w:rPr>
        <w:t xml:space="preserve">Disciplinario de </w:t>
      </w:r>
      <w:r w:rsidR="00330DC5">
        <w:rPr>
          <w:rFonts w:eastAsia="Calibri" w:cs="Arial"/>
          <w:szCs w:val="24"/>
          <w:lang w:val="es-CO"/>
        </w:rPr>
        <w:t>INFIBAGUÉ (</w:t>
      </w:r>
      <w:r w:rsidR="00330DC5">
        <w:rPr>
          <w:rFonts w:eastAsia="Calibri" w:cs="Arial"/>
          <w:i/>
          <w:szCs w:val="24"/>
          <w:lang w:val="es-CO"/>
        </w:rPr>
        <w:t>depende la fase en que se solicite la nulidad</w:t>
      </w:r>
      <w:r w:rsidR="00330DC5">
        <w:rPr>
          <w:rFonts w:eastAsia="Calibri" w:cs="Arial"/>
          <w:szCs w:val="24"/>
          <w:lang w:val="es-CO"/>
        </w:rPr>
        <w:t>)</w:t>
      </w:r>
      <w:r w:rsidR="00C754DA" w:rsidRPr="0014735F">
        <w:rPr>
          <w:rFonts w:eastAsia="Calibri" w:cs="Arial"/>
          <w:szCs w:val="24"/>
          <w:lang w:val="es-CO"/>
        </w:rPr>
        <w:t>, formulo cargos contra del señor</w:t>
      </w:r>
      <w:r w:rsidRPr="0014735F">
        <w:rPr>
          <w:rFonts w:eastAsia="Calibri" w:cs="Arial"/>
          <w:szCs w:val="24"/>
          <w:lang w:val="es-ES"/>
        </w:rPr>
        <w:t>___________</w:t>
      </w:r>
      <w:r w:rsidR="00C754DA" w:rsidRPr="0014735F">
        <w:rPr>
          <w:rFonts w:eastAsia="Calibri" w:cs="Arial"/>
          <w:szCs w:val="24"/>
          <w:lang w:val="es-ES"/>
        </w:rPr>
        <w:t xml:space="preserve">, quien funge como </w:t>
      </w:r>
      <w:r>
        <w:rPr>
          <w:rFonts w:eastAsia="Calibri" w:cs="Arial"/>
          <w:szCs w:val="24"/>
          <w:lang w:val="es-ES"/>
        </w:rPr>
        <w:t>_____________</w:t>
      </w:r>
      <w:r w:rsidR="00C754DA" w:rsidRPr="0014735F">
        <w:rPr>
          <w:rFonts w:eastAsia="Calibri" w:cs="Arial"/>
          <w:szCs w:val="24"/>
          <w:lang w:val="es-ES"/>
        </w:rPr>
        <w:t>de Ibagué</w:t>
      </w:r>
      <w:r w:rsidR="00C754DA" w:rsidRPr="0014735F">
        <w:rPr>
          <w:rFonts w:eastAsia="Calibri" w:cs="Arial"/>
          <w:szCs w:val="24"/>
          <w:lang w:val="es-CO"/>
        </w:rPr>
        <w:t xml:space="preserve">, decisión que se notificó el día </w:t>
      </w:r>
      <w:r>
        <w:rPr>
          <w:rFonts w:eastAsia="Calibri" w:cs="Arial"/>
          <w:szCs w:val="24"/>
          <w:lang w:val="es-CO"/>
        </w:rPr>
        <w:t>___</w:t>
      </w:r>
      <w:r w:rsidR="00C754DA" w:rsidRPr="0014735F">
        <w:rPr>
          <w:rFonts w:eastAsia="Calibri" w:cs="Arial"/>
          <w:szCs w:val="24"/>
          <w:lang w:val="es-CO"/>
        </w:rPr>
        <w:t xml:space="preserve"> de </w:t>
      </w:r>
      <w:r>
        <w:rPr>
          <w:rFonts w:eastAsia="Calibri" w:cs="Arial"/>
          <w:szCs w:val="24"/>
          <w:lang w:val="es-CO"/>
        </w:rPr>
        <w:t xml:space="preserve">_____ </w:t>
      </w:r>
      <w:r w:rsidR="00C754DA" w:rsidRPr="0014735F">
        <w:rPr>
          <w:rFonts w:eastAsia="Calibri" w:cs="Arial"/>
          <w:szCs w:val="24"/>
          <w:lang w:val="es-CO"/>
        </w:rPr>
        <w:t>del 202</w:t>
      </w:r>
      <w:r w:rsidR="00330DC5">
        <w:rPr>
          <w:rFonts w:eastAsia="Calibri" w:cs="Arial"/>
          <w:szCs w:val="24"/>
          <w:lang w:val="es-CO"/>
        </w:rPr>
        <w:t>x</w:t>
      </w:r>
      <w:r w:rsidR="00C754DA" w:rsidRPr="0014735F">
        <w:rPr>
          <w:rFonts w:eastAsia="Calibri" w:cs="Arial"/>
          <w:szCs w:val="24"/>
          <w:lang w:val="es-CO"/>
        </w:rPr>
        <w:t xml:space="preserve">, por intermedio del </w:t>
      </w:r>
      <w:r w:rsidR="00804C4B" w:rsidRPr="0014735F">
        <w:rPr>
          <w:rFonts w:eastAsia="Calibri" w:cs="Arial"/>
          <w:szCs w:val="24"/>
          <w:lang w:val="es-CO"/>
        </w:rPr>
        <w:t>Apoderado</w:t>
      </w:r>
      <w:r w:rsidR="00C754DA" w:rsidRPr="0014735F">
        <w:rPr>
          <w:rFonts w:eastAsia="Calibri" w:cs="Arial"/>
          <w:szCs w:val="24"/>
          <w:lang w:val="es-CO"/>
        </w:rPr>
        <w:t xml:space="preserve">, </w:t>
      </w:r>
      <w:r w:rsidRPr="0014735F">
        <w:rPr>
          <w:rFonts w:eastAsia="Calibri" w:cs="Arial"/>
          <w:szCs w:val="24"/>
          <w:lang w:val="es-CO"/>
        </w:rPr>
        <w:t>_____________</w:t>
      </w:r>
      <w:r w:rsidR="00C754DA" w:rsidRPr="0014735F">
        <w:rPr>
          <w:rFonts w:eastAsia="Calibri" w:cs="Arial"/>
          <w:szCs w:val="24"/>
          <w:lang w:val="es-CO"/>
        </w:rPr>
        <w:t xml:space="preserve">, previas las actuaciones de rigor, toda vez que, el disciplinado no compareció a notificarse personalmente de la decisión. </w:t>
      </w:r>
      <w:proofErr w:type="spellStart"/>
      <w:r w:rsidR="00C754DA" w:rsidRPr="0014735F">
        <w:rPr>
          <w:rFonts w:eastAsia="Calibri" w:cs="Arial"/>
          <w:szCs w:val="24"/>
          <w:lang w:val="es-CO"/>
        </w:rPr>
        <w:t>fls</w:t>
      </w:r>
      <w:proofErr w:type="spellEnd"/>
      <w:r w:rsidR="00C754DA" w:rsidRPr="0014735F">
        <w:rPr>
          <w:rFonts w:eastAsia="Calibri" w:cs="Arial"/>
          <w:szCs w:val="24"/>
          <w:lang w:val="es-CO"/>
        </w:rPr>
        <w:t xml:space="preserve">. </w:t>
      </w:r>
      <w:r>
        <w:rPr>
          <w:rFonts w:eastAsia="Calibri" w:cs="Arial"/>
          <w:szCs w:val="24"/>
          <w:lang w:val="es-CO"/>
        </w:rPr>
        <w:t>_____</w:t>
      </w:r>
      <w:r w:rsidR="00C754DA" w:rsidRPr="0014735F">
        <w:rPr>
          <w:rFonts w:eastAsia="Calibri" w:cs="Arial"/>
          <w:szCs w:val="24"/>
          <w:lang w:val="es-CO"/>
        </w:rPr>
        <w:t xml:space="preserve"> al </w:t>
      </w:r>
      <w:r>
        <w:rPr>
          <w:rFonts w:eastAsia="Calibri" w:cs="Arial"/>
          <w:szCs w:val="24"/>
          <w:lang w:val="es-CO"/>
        </w:rPr>
        <w:t>______</w:t>
      </w:r>
      <w:r w:rsidR="00C754DA" w:rsidRPr="0014735F">
        <w:rPr>
          <w:rFonts w:eastAsia="Calibri" w:cs="Arial"/>
          <w:szCs w:val="24"/>
          <w:lang w:val="es-CO"/>
        </w:rPr>
        <w:t xml:space="preserve">. </w:t>
      </w:r>
    </w:p>
    <w:p w14:paraId="1181940A" w14:textId="77777777" w:rsidR="00C754DA" w:rsidRPr="0014735F" w:rsidRDefault="00C754DA" w:rsidP="00C754DA">
      <w:pPr>
        <w:ind w:right="-374"/>
        <w:jc w:val="both"/>
        <w:rPr>
          <w:rFonts w:eastAsia="Calibri" w:cs="Arial"/>
          <w:szCs w:val="24"/>
          <w:lang w:val="es-CO"/>
        </w:rPr>
      </w:pPr>
    </w:p>
    <w:p w14:paraId="3318F9F5" w14:textId="50509E07" w:rsidR="00C754DA" w:rsidRPr="0014735F" w:rsidRDefault="00C754DA" w:rsidP="00C754DA">
      <w:pPr>
        <w:ind w:right="-374"/>
        <w:jc w:val="both"/>
        <w:rPr>
          <w:rFonts w:eastAsia="Calibri" w:cs="Arial"/>
          <w:szCs w:val="24"/>
          <w:lang w:val="es-CO"/>
        </w:rPr>
      </w:pPr>
      <w:r w:rsidRPr="0014735F">
        <w:rPr>
          <w:rFonts w:eastAsia="Calibri" w:cs="Arial"/>
          <w:szCs w:val="24"/>
          <w:lang w:val="es-CO"/>
        </w:rPr>
        <w:t xml:space="preserve">Por consiguiente, a través </w:t>
      </w:r>
      <w:r w:rsidR="00804C4B" w:rsidRPr="0014735F">
        <w:rPr>
          <w:rFonts w:eastAsia="Calibri" w:cs="Arial"/>
          <w:szCs w:val="24"/>
          <w:lang w:val="es-CO"/>
        </w:rPr>
        <w:t xml:space="preserve">Apoderado, </w:t>
      </w:r>
      <w:r w:rsidR="0014735F" w:rsidRPr="0014735F">
        <w:rPr>
          <w:rFonts w:eastAsia="Calibri" w:cs="Arial"/>
          <w:szCs w:val="24"/>
          <w:lang w:val="es-CO"/>
        </w:rPr>
        <w:t xml:space="preserve">_____________, </w:t>
      </w:r>
      <w:r w:rsidRPr="0014735F">
        <w:rPr>
          <w:rFonts w:eastAsia="Calibri" w:cs="Arial"/>
          <w:szCs w:val="24"/>
          <w:lang w:val="es-CO"/>
        </w:rPr>
        <w:t xml:space="preserve">presentó dentro del término según se ve en constancia secretarial vista a </w:t>
      </w:r>
      <w:proofErr w:type="spellStart"/>
      <w:r w:rsidRPr="0014735F">
        <w:rPr>
          <w:rFonts w:eastAsia="Calibri" w:cs="Arial"/>
          <w:szCs w:val="24"/>
          <w:lang w:val="es-CO"/>
        </w:rPr>
        <w:t>fl</w:t>
      </w:r>
      <w:proofErr w:type="spellEnd"/>
      <w:r w:rsidRPr="0014735F">
        <w:rPr>
          <w:rFonts w:eastAsia="Calibri" w:cs="Arial"/>
          <w:szCs w:val="24"/>
          <w:lang w:val="es-CO"/>
        </w:rPr>
        <w:t xml:space="preserve">. </w:t>
      </w:r>
      <w:r w:rsidR="0014735F">
        <w:rPr>
          <w:rFonts w:eastAsia="Calibri" w:cs="Arial"/>
          <w:szCs w:val="24"/>
          <w:lang w:val="es-CO"/>
        </w:rPr>
        <w:t>_____</w:t>
      </w:r>
      <w:r w:rsidRPr="0014735F">
        <w:rPr>
          <w:rFonts w:eastAsia="Calibri" w:cs="Arial"/>
          <w:szCs w:val="24"/>
          <w:lang w:val="es-CO"/>
        </w:rPr>
        <w:t xml:space="preserve">, memorial de descargos el día </w:t>
      </w:r>
      <w:r w:rsidR="0014735F">
        <w:rPr>
          <w:rFonts w:eastAsia="Calibri" w:cs="Arial"/>
          <w:szCs w:val="24"/>
          <w:lang w:val="es-CO"/>
        </w:rPr>
        <w:t>___</w:t>
      </w:r>
      <w:r w:rsidRPr="0014735F">
        <w:rPr>
          <w:rFonts w:eastAsia="Calibri" w:cs="Arial"/>
          <w:szCs w:val="24"/>
          <w:lang w:val="es-CO"/>
        </w:rPr>
        <w:t xml:space="preserve">de </w:t>
      </w:r>
      <w:r w:rsidR="0014735F">
        <w:rPr>
          <w:rFonts w:eastAsia="Calibri" w:cs="Arial"/>
          <w:szCs w:val="24"/>
          <w:lang w:val="es-CO"/>
        </w:rPr>
        <w:t>_____</w:t>
      </w:r>
      <w:r w:rsidRPr="0014735F">
        <w:rPr>
          <w:rFonts w:eastAsia="Calibri" w:cs="Arial"/>
          <w:szCs w:val="24"/>
          <w:lang w:val="es-CO"/>
        </w:rPr>
        <w:t xml:space="preserve"> de</w:t>
      </w:r>
      <w:r w:rsidR="0014735F">
        <w:rPr>
          <w:rFonts w:eastAsia="Calibri" w:cs="Arial"/>
          <w:szCs w:val="24"/>
          <w:lang w:val="es-CO"/>
        </w:rPr>
        <w:t>l</w:t>
      </w:r>
      <w:r w:rsidRPr="0014735F">
        <w:rPr>
          <w:rFonts w:eastAsia="Calibri" w:cs="Arial"/>
          <w:szCs w:val="24"/>
          <w:lang w:val="es-CO"/>
        </w:rPr>
        <w:t xml:space="preserve"> 202</w:t>
      </w:r>
      <w:r w:rsidR="00330DC5">
        <w:rPr>
          <w:rFonts w:eastAsia="Calibri" w:cs="Arial"/>
          <w:szCs w:val="24"/>
          <w:lang w:val="es-CO"/>
        </w:rPr>
        <w:t>x</w:t>
      </w:r>
      <w:r w:rsidRPr="0014735F">
        <w:rPr>
          <w:rFonts w:eastAsia="Calibri" w:cs="Arial"/>
          <w:szCs w:val="24"/>
          <w:lang w:val="es-CO"/>
        </w:rPr>
        <w:t xml:space="preserve"> </w:t>
      </w:r>
      <w:proofErr w:type="spellStart"/>
      <w:r w:rsidRPr="0014735F">
        <w:rPr>
          <w:rFonts w:eastAsia="Calibri" w:cs="Arial"/>
          <w:szCs w:val="24"/>
          <w:lang w:val="es-CO"/>
        </w:rPr>
        <w:t>fls</w:t>
      </w:r>
      <w:proofErr w:type="spellEnd"/>
      <w:r w:rsidRPr="0014735F">
        <w:rPr>
          <w:rFonts w:eastAsia="Calibri" w:cs="Arial"/>
          <w:szCs w:val="24"/>
          <w:lang w:val="es-CO"/>
        </w:rPr>
        <w:t xml:space="preserve">. </w:t>
      </w:r>
      <w:r w:rsidR="0014735F">
        <w:rPr>
          <w:rFonts w:eastAsia="Calibri" w:cs="Arial"/>
          <w:szCs w:val="24"/>
          <w:lang w:val="es-CO"/>
        </w:rPr>
        <w:t>_____</w:t>
      </w:r>
      <w:r w:rsidRPr="0014735F">
        <w:rPr>
          <w:rFonts w:eastAsia="Calibri" w:cs="Arial"/>
          <w:szCs w:val="24"/>
          <w:lang w:val="es-CO"/>
        </w:rPr>
        <w:t xml:space="preserve"> al </w:t>
      </w:r>
      <w:r w:rsidR="0014735F">
        <w:rPr>
          <w:rFonts w:eastAsia="Calibri" w:cs="Arial"/>
          <w:szCs w:val="24"/>
          <w:lang w:val="es-CO"/>
        </w:rPr>
        <w:t>_______</w:t>
      </w:r>
      <w:r w:rsidRPr="0014735F">
        <w:rPr>
          <w:rFonts w:eastAsia="Calibri" w:cs="Arial"/>
          <w:szCs w:val="24"/>
          <w:lang w:val="es-CO"/>
        </w:rPr>
        <w:t>, en el cual solicitó la práctica de las siguientes pruebas;</w:t>
      </w:r>
    </w:p>
    <w:p w14:paraId="6039F9ED" w14:textId="77777777" w:rsidR="00C754DA" w:rsidRPr="0014735F" w:rsidRDefault="00C754DA" w:rsidP="00C754DA">
      <w:pPr>
        <w:ind w:right="-374"/>
        <w:jc w:val="both"/>
        <w:rPr>
          <w:rFonts w:eastAsia="Calibri" w:cs="Arial"/>
          <w:szCs w:val="24"/>
          <w:lang w:val="es-CO"/>
        </w:rPr>
      </w:pPr>
    </w:p>
    <w:p w14:paraId="2B35F5B4" w14:textId="168CA1A6" w:rsidR="00C754DA" w:rsidRPr="0014735F" w:rsidRDefault="00C754DA" w:rsidP="00C754DA">
      <w:pPr>
        <w:ind w:right="-374"/>
        <w:jc w:val="both"/>
        <w:rPr>
          <w:rFonts w:eastAsia="Calibri" w:cs="Arial"/>
          <w:i/>
          <w:szCs w:val="24"/>
          <w:lang w:val="es-CO"/>
        </w:rPr>
      </w:pPr>
      <w:bookmarkStart w:id="1" w:name="_Hlk138856321"/>
      <w:r w:rsidRPr="0014735F">
        <w:rPr>
          <w:rFonts w:eastAsia="Calibri" w:cs="Arial"/>
          <w:szCs w:val="24"/>
          <w:lang w:val="es-CO"/>
        </w:rPr>
        <w:t>“</w:t>
      </w:r>
      <w:r w:rsidRPr="0014735F">
        <w:rPr>
          <w:rFonts w:eastAsia="Calibri" w:cs="Arial"/>
          <w:i/>
          <w:szCs w:val="24"/>
          <w:lang w:val="es-CO"/>
        </w:rPr>
        <w:t>”.</w:t>
      </w:r>
    </w:p>
    <w:p w14:paraId="501FD6DA" w14:textId="77777777" w:rsidR="00C754DA" w:rsidRPr="0014735F" w:rsidRDefault="00C754DA" w:rsidP="00C754DA">
      <w:pPr>
        <w:ind w:right="-374"/>
        <w:jc w:val="both"/>
        <w:rPr>
          <w:rFonts w:eastAsia="Calibri" w:cs="Arial"/>
          <w:i/>
          <w:szCs w:val="24"/>
          <w:lang w:val="es-CO"/>
        </w:rPr>
      </w:pPr>
    </w:p>
    <w:p w14:paraId="70824894" w14:textId="77777777" w:rsidR="00C754DA" w:rsidRPr="0014735F" w:rsidRDefault="00C754DA" w:rsidP="00C754DA">
      <w:pPr>
        <w:ind w:right="-374"/>
        <w:jc w:val="both"/>
        <w:rPr>
          <w:rFonts w:eastAsia="Calibri" w:cs="Arial"/>
          <w:szCs w:val="24"/>
          <w:lang w:val="es-CO"/>
        </w:rPr>
      </w:pPr>
      <w:r w:rsidRPr="0014735F">
        <w:rPr>
          <w:rFonts w:eastAsia="Calibri" w:cs="Arial"/>
          <w:szCs w:val="24"/>
          <w:lang w:val="es-CO"/>
        </w:rPr>
        <w:t>Argumenta su solicitud de pruebas en las siguientes manifestaciones fácticas;</w:t>
      </w:r>
    </w:p>
    <w:p w14:paraId="5127385F" w14:textId="77777777" w:rsidR="00C754DA" w:rsidRPr="0014735F" w:rsidRDefault="00C754DA" w:rsidP="00C754DA">
      <w:pPr>
        <w:ind w:left="567" w:right="-374"/>
        <w:jc w:val="both"/>
        <w:rPr>
          <w:rFonts w:eastAsia="Calibri" w:cs="Arial"/>
          <w:i/>
          <w:szCs w:val="24"/>
          <w:lang w:val="es-CO"/>
        </w:rPr>
      </w:pPr>
    </w:p>
    <w:p w14:paraId="68AA6FD9" w14:textId="6233A847" w:rsidR="00C754DA" w:rsidRDefault="00C754DA" w:rsidP="00C754DA">
      <w:pPr>
        <w:ind w:left="567" w:right="-374"/>
        <w:jc w:val="both"/>
        <w:rPr>
          <w:rFonts w:eastAsia="Calibri" w:cs="Arial"/>
          <w:i/>
          <w:szCs w:val="24"/>
          <w:lang w:val="es-CO"/>
        </w:rPr>
      </w:pPr>
      <w:r w:rsidRPr="0014735F">
        <w:rPr>
          <w:rFonts w:eastAsia="Calibri" w:cs="Arial"/>
          <w:i/>
          <w:szCs w:val="24"/>
          <w:lang w:val="es-CO"/>
        </w:rPr>
        <w:t xml:space="preserve">“1. Incongruencia fáctica: </w:t>
      </w:r>
      <w:bookmarkEnd w:id="1"/>
    </w:p>
    <w:p w14:paraId="014851E5" w14:textId="32D2D555" w:rsidR="00C754DA" w:rsidRDefault="00C754DA" w:rsidP="00C754DA">
      <w:pPr>
        <w:ind w:right="-374"/>
        <w:jc w:val="both"/>
        <w:rPr>
          <w:rFonts w:eastAsia="Calibri" w:cs="Arial"/>
          <w:i/>
          <w:szCs w:val="24"/>
          <w:lang w:val="es-CO"/>
        </w:rPr>
      </w:pPr>
    </w:p>
    <w:p w14:paraId="5D4EFB03" w14:textId="77777777" w:rsidR="00D37E8D" w:rsidRPr="0014735F" w:rsidRDefault="00D37E8D" w:rsidP="00C754DA">
      <w:pPr>
        <w:ind w:right="-374"/>
        <w:jc w:val="both"/>
        <w:rPr>
          <w:rFonts w:cs="Arial"/>
          <w:b/>
          <w:szCs w:val="24"/>
        </w:rPr>
      </w:pPr>
    </w:p>
    <w:p w14:paraId="4E7A6049" w14:textId="77777777" w:rsidR="00C754DA" w:rsidRPr="0014735F" w:rsidRDefault="00C754DA" w:rsidP="00C754DA">
      <w:pPr>
        <w:numPr>
          <w:ilvl w:val="0"/>
          <w:numId w:val="2"/>
        </w:numPr>
        <w:overflowPunct/>
        <w:autoSpaceDE/>
        <w:autoSpaceDN/>
        <w:adjustRightInd/>
        <w:ind w:right="-374"/>
        <w:jc w:val="center"/>
        <w:textAlignment w:val="auto"/>
        <w:rPr>
          <w:rFonts w:cs="Arial"/>
          <w:szCs w:val="24"/>
        </w:rPr>
      </w:pPr>
      <w:r w:rsidRPr="0014735F">
        <w:rPr>
          <w:rFonts w:cs="Arial"/>
          <w:b/>
          <w:szCs w:val="24"/>
        </w:rPr>
        <w:t>CONSIDERACIONES DEL DESPACHO</w:t>
      </w:r>
    </w:p>
    <w:p w14:paraId="47CCB3CB" w14:textId="77777777" w:rsidR="00C754DA" w:rsidRPr="0014735F" w:rsidRDefault="00C754DA" w:rsidP="00C754DA">
      <w:pPr>
        <w:ind w:right="-374"/>
        <w:jc w:val="center"/>
        <w:rPr>
          <w:rFonts w:cs="Arial"/>
          <w:szCs w:val="24"/>
        </w:rPr>
      </w:pPr>
    </w:p>
    <w:p w14:paraId="131A5355" w14:textId="63F133E8" w:rsidR="00C754DA" w:rsidRPr="0014735F" w:rsidRDefault="00C754DA" w:rsidP="00C754DA">
      <w:pPr>
        <w:ind w:right="-374"/>
        <w:jc w:val="both"/>
        <w:rPr>
          <w:rFonts w:cs="Arial"/>
          <w:szCs w:val="24"/>
        </w:rPr>
      </w:pPr>
      <w:r w:rsidRPr="0014735F">
        <w:rPr>
          <w:rFonts w:cs="Arial"/>
          <w:szCs w:val="24"/>
        </w:rPr>
        <w:t xml:space="preserve">Para efectos procesales de que habla nuestra norma adjetiva (Art. 225C, Ley 1952 de 2019), se resolverá primero la nulidad planteada por el defensor, sobre la tipicidad de la falta endilgada al disciplinado, y luego de ello, se resolverá de plano la solicitud probatoria rendida en los descargos de fecha </w:t>
      </w:r>
      <w:r w:rsidR="0014735F">
        <w:rPr>
          <w:rFonts w:cs="Arial"/>
          <w:szCs w:val="24"/>
        </w:rPr>
        <w:t>____</w:t>
      </w:r>
      <w:r w:rsidRPr="0014735F">
        <w:rPr>
          <w:rFonts w:cs="Arial"/>
          <w:szCs w:val="24"/>
        </w:rPr>
        <w:t xml:space="preserve"> de </w:t>
      </w:r>
      <w:r w:rsidR="0014735F">
        <w:rPr>
          <w:rFonts w:cs="Arial"/>
          <w:szCs w:val="24"/>
        </w:rPr>
        <w:t>_____</w:t>
      </w:r>
      <w:r w:rsidRPr="0014735F">
        <w:rPr>
          <w:rFonts w:cs="Arial"/>
          <w:szCs w:val="24"/>
        </w:rPr>
        <w:t xml:space="preserve"> del 2023 </w:t>
      </w:r>
      <w:proofErr w:type="spellStart"/>
      <w:r w:rsidRPr="0014735F">
        <w:rPr>
          <w:rFonts w:cs="Arial"/>
          <w:szCs w:val="24"/>
        </w:rPr>
        <w:t>fls</w:t>
      </w:r>
      <w:proofErr w:type="spellEnd"/>
      <w:r w:rsidRPr="0014735F">
        <w:rPr>
          <w:rFonts w:cs="Arial"/>
          <w:szCs w:val="24"/>
        </w:rPr>
        <w:t xml:space="preserve">. </w:t>
      </w:r>
      <w:r w:rsidR="0014735F">
        <w:rPr>
          <w:rFonts w:cs="Arial"/>
          <w:szCs w:val="24"/>
        </w:rPr>
        <w:t>____</w:t>
      </w:r>
      <w:r w:rsidRPr="0014735F">
        <w:rPr>
          <w:rFonts w:cs="Arial"/>
          <w:szCs w:val="24"/>
        </w:rPr>
        <w:t xml:space="preserve"> al </w:t>
      </w:r>
      <w:r w:rsidR="0014735F">
        <w:rPr>
          <w:rFonts w:cs="Arial"/>
          <w:szCs w:val="24"/>
        </w:rPr>
        <w:t>____</w:t>
      </w:r>
      <w:r w:rsidRPr="0014735F">
        <w:rPr>
          <w:rFonts w:cs="Arial"/>
          <w:szCs w:val="24"/>
        </w:rPr>
        <w:t xml:space="preserve">. </w:t>
      </w:r>
    </w:p>
    <w:p w14:paraId="73FB9C86" w14:textId="77777777" w:rsidR="00C754DA" w:rsidRPr="0014735F" w:rsidRDefault="00C754DA" w:rsidP="00C754DA">
      <w:pPr>
        <w:ind w:right="-374"/>
        <w:jc w:val="both"/>
        <w:rPr>
          <w:rFonts w:cs="Arial"/>
          <w:szCs w:val="24"/>
        </w:rPr>
      </w:pPr>
    </w:p>
    <w:p w14:paraId="16B0A6CF" w14:textId="087EB809" w:rsidR="00C754DA" w:rsidRPr="00BD6CEA" w:rsidRDefault="00C754DA" w:rsidP="00BD6CEA">
      <w:pPr>
        <w:pStyle w:val="Prrafodelista"/>
        <w:numPr>
          <w:ilvl w:val="0"/>
          <w:numId w:val="2"/>
        </w:numPr>
        <w:ind w:right="-374"/>
        <w:jc w:val="both"/>
        <w:rPr>
          <w:rFonts w:cs="Arial"/>
          <w:b/>
          <w:szCs w:val="24"/>
        </w:rPr>
      </w:pPr>
      <w:r w:rsidRPr="00BD6CEA">
        <w:rPr>
          <w:rFonts w:cs="Arial"/>
          <w:b/>
          <w:szCs w:val="24"/>
        </w:rPr>
        <w:t>SE RESUELVE NULIDAD PRESENTADA EN ETAPA DE DESCARGOS</w:t>
      </w:r>
    </w:p>
    <w:p w14:paraId="11FC1CDB" w14:textId="77777777" w:rsidR="00C754DA" w:rsidRPr="0014735F" w:rsidRDefault="00C754DA" w:rsidP="00C754DA">
      <w:pPr>
        <w:ind w:right="-374"/>
        <w:jc w:val="both"/>
        <w:rPr>
          <w:rFonts w:cs="Arial"/>
          <w:b/>
          <w:szCs w:val="24"/>
        </w:rPr>
      </w:pPr>
    </w:p>
    <w:p w14:paraId="0FEBC63E" w14:textId="394EE156" w:rsidR="00C754DA" w:rsidRPr="0014735F" w:rsidRDefault="00C754DA" w:rsidP="00C754DA">
      <w:pPr>
        <w:ind w:right="-374"/>
        <w:jc w:val="both"/>
        <w:rPr>
          <w:rFonts w:cs="Arial"/>
          <w:szCs w:val="24"/>
        </w:rPr>
      </w:pPr>
      <w:r w:rsidRPr="0014735F">
        <w:rPr>
          <w:rFonts w:cs="Arial"/>
          <w:szCs w:val="24"/>
        </w:rPr>
        <w:t xml:space="preserve">En efecto, luego del análisis de cada uno de los argumentos que expone el defensor sobre la nulidad acaecía dentro de la presente investigación, para efectos metodológicos se planteará los siguientes temas a resolver; la Nulidad aspectos generales, </w:t>
      </w:r>
      <w:bookmarkStart w:id="2" w:name="_Hlk138517183"/>
      <w:r w:rsidRPr="0014735F">
        <w:rPr>
          <w:rFonts w:cs="Arial"/>
          <w:szCs w:val="24"/>
        </w:rPr>
        <w:t xml:space="preserve">Tipicidad de la falta </w:t>
      </w:r>
      <w:bookmarkEnd w:id="2"/>
      <w:r w:rsidRPr="0014735F">
        <w:rPr>
          <w:rFonts w:cs="Arial"/>
          <w:szCs w:val="24"/>
        </w:rPr>
        <w:t xml:space="preserve">y </w:t>
      </w:r>
      <w:bookmarkStart w:id="3" w:name="_Hlk138664614"/>
      <w:r w:rsidRPr="0014735F">
        <w:rPr>
          <w:rFonts w:cs="Arial"/>
          <w:szCs w:val="24"/>
        </w:rPr>
        <w:t xml:space="preserve">el </w:t>
      </w:r>
      <w:r w:rsidR="00804C4B" w:rsidRPr="0014735F">
        <w:rPr>
          <w:rFonts w:cs="Arial"/>
          <w:szCs w:val="24"/>
        </w:rPr>
        <w:t>documento</w:t>
      </w:r>
      <w:r w:rsidRPr="0014735F">
        <w:rPr>
          <w:rFonts w:cs="Arial"/>
          <w:szCs w:val="24"/>
        </w:rPr>
        <w:t xml:space="preserve"> como elemento de prueba en el derecho Disciplinario</w:t>
      </w:r>
      <w:bookmarkEnd w:id="3"/>
      <w:r w:rsidRPr="0014735F">
        <w:rPr>
          <w:rFonts w:cs="Arial"/>
          <w:szCs w:val="24"/>
        </w:rPr>
        <w:t xml:space="preserve"> y finalmente se resolverá el asunto de marras bajo los criterios jurisprudenciales, bajo estos derroteros a saber se le expone al defensor;</w:t>
      </w:r>
    </w:p>
    <w:p w14:paraId="6320F357" w14:textId="77777777" w:rsidR="00C754DA" w:rsidRPr="0014735F" w:rsidRDefault="00C754DA" w:rsidP="00C754DA">
      <w:pPr>
        <w:ind w:right="-374"/>
        <w:jc w:val="both"/>
        <w:rPr>
          <w:rFonts w:cs="Arial"/>
          <w:szCs w:val="24"/>
        </w:rPr>
      </w:pPr>
    </w:p>
    <w:p w14:paraId="02244101" w14:textId="77777777" w:rsidR="00C754DA" w:rsidRPr="0014735F" w:rsidRDefault="00C754DA" w:rsidP="00C754DA">
      <w:pPr>
        <w:ind w:right="-374"/>
        <w:jc w:val="both"/>
        <w:rPr>
          <w:rFonts w:cs="Arial"/>
          <w:szCs w:val="24"/>
        </w:rPr>
      </w:pPr>
    </w:p>
    <w:p w14:paraId="43DE6229" w14:textId="6DE50A20" w:rsidR="00C754DA" w:rsidRPr="00BD6CEA" w:rsidRDefault="00C754DA" w:rsidP="00BD6CEA">
      <w:pPr>
        <w:pStyle w:val="Prrafodelista"/>
        <w:numPr>
          <w:ilvl w:val="0"/>
          <w:numId w:val="2"/>
        </w:numPr>
        <w:ind w:right="-374"/>
        <w:jc w:val="both"/>
        <w:rPr>
          <w:rFonts w:cs="Arial"/>
          <w:b/>
          <w:szCs w:val="24"/>
        </w:rPr>
      </w:pPr>
      <w:r w:rsidRPr="00BD6CEA">
        <w:rPr>
          <w:rFonts w:cs="Arial"/>
          <w:b/>
          <w:szCs w:val="24"/>
        </w:rPr>
        <w:t>LA NULIDAD ASPECTOS GENERALES</w:t>
      </w:r>
    </w:p>
    <w:p w14:paraId="45688B79" w14:textId="77777777" w:rsidR="00C754DA" w:rsidRPr="0014735F" w:rsidRDefault="00C754DA" w:rsidP="00C754DA">
      <w:pPr>
        <w:ind w:right="-374"/>
        <w:jc w:val="both"/>
        <w:rPr>
          <w:rFonts w:cs="Arial"/>
          <w:szCs w:val="24"/>
        </w:rPr>
      </w:pPr>
    </w:p>
    <w:p w14:paraId="56BB83DC" w14:textId="77777777" w:rsidR="00C754DA" w:rsidRPr="0014735F" w:rsidRDefault="00C754DA" w:rsidP="00C754DA">
      <w:pPr>
        <w:ind w:right="-374"/>
        <w:jc w:val="both"/>
        <w:rPr>
          <w:rFonts w:cs="Arial"/>
          <w:szCs w:val="24"/>
        </w:rPr>
      </w:pPr>
      <w:r w:rsidRPr="0014735F">
        <w:rPr>
          <w:rFonts w:cs="Arial"/>
          <w:szCs w:val="24"/>
          <w:lang w:val="es-ES"/>
        </w:rPr>
        <w:t>E</w:t>
      </w:r>
      <w:r w:rsidRPr="0014735F">
        <w:rPr>
          <w:rFonts w:cs="Arial"/>
          <w:szCs w:val="24"/>
        </w:rPr>
        <w:t>l tema de la nulidad está establecido en los artículos 202,203, 205 y 206 de la ley 1952 de 2019:</w:t>
      </w:r>
    </w:p>
    <w:p w14:paraId="72BE8621" w14:textId="77777777" w:rsidR="00C754DA" w:rsidRPr="0014735F" w:rsidRDefault="00C754DA" w:rsidP="00C754DA">
      <w:pPr>
        <w:ind w:right="-374"/>
        <w:jc w:val="both"/>
        <w:rPr>
          <w:rFonts w:cs="Arial"/>
          <w:szCs w:val="24"/>
        </w:rPr>
      </w:pPr>
    </w:p>
    <w:p w14:paraId="122C9FD2" w14:textId="77777777" w:rsidR="00C754DA" w:rsidRPr="0014735F" w:rsidRDefault="00C754DA" w:rsidP="00C754DA">
      <w:pPr>
        <w:ind w:right="-374"/>
        <w:jc w:val="both"/>
        <w:rPr>
          <w:rFonts w:cs="Arial"/>
          <w:i/>
          <w:szCs w:val="24"/>
        </w:rPr>
      </w:pPr>
      <w:r w:rsidRPr="0014735F">
        <w:rPr>
          <w:rFonts w:cs="Arial"/>
          <w:b/>
          <w:i/>
          <w:szCs w:val="24"/>
        </w:rPr>
        <w:t>“ARTÍCULO 202. CAUSALES DE NULIDAD</w:t>
      </w:r>
      <w:r w:rsidRPr="0014735F">
        <w:rPr>
          <w:rFonts w:cs="Arial"/>
          <w:i/>
          <w:szCs w:val="24"/>
        </w:rPr>
        <w:t>. Son causales de nulidad las siguientes:</w:t>
      </w:r>
    </w:p>
    <w:p w14:paraId="54FBEA45" w14:textId="77777777" w:rsidR="00C754DA" w:rsidRPr="0014735F" w:rsidRDefault="00C754DA" w:rsidP="00C754DA">
      <w:pPr>
        <w:ind w:right="-374"/>
        <w:jc w:val="both"/>
        <w:rPr>
          <w:rFonts w:cs="Arial"/>
          <w:i/>
          <w:szCs w:val="24"/>
        </w:rPr>
      </w:pPr>
    </w:p>
    <w:p w14:paraId="5F572EA2" w14:textId="77777777" w:rsidR="00C754DA" w:rsidRPr="0014735F" w:rsidRDefault="00C754DA" w:rsidP="00C754DA">
      <w:pPr>
        <w:ind w:right="-374"/>
        <w:jc w:val="both"/>
        <w:rPr>
          <w:rFonts w:cs="Arial"/>
          <w:i/>
          <w:szCs w:val="24"/>
        </w:rPr>
      </w:pPr>
      <w:r w:rsidRPr="0014735F">
        <w:rPr>
          <w:rFonts w:cs="Arial"/>
          <w:i/>
          <w:szCs w:val="24"/>
        </w:rPr>
        <w:t>1. La falta de competencia del funcionario para proferir el fallo.</w:t>
      </w:r>
    </w:p>
    <w:p w14:paraId="2EA4E753" w14:textId="77777777" w:rsidR="00C754DA" w:rsidRPr="0014735F" w:rsidRDefault="00C754DA" w:rsidP="00C754DA">
      <w:pPr>
        <w:ind w:right="-374"/>
        <w:jc w:val="both"/>
        <w:rPr>
          <w:rFonts w:cs="Arial"/>
          <w:i/>
          <w:szCs w:val="24"/>
        </w:rPr>
      </w:pPr>
    </w:p>
    <w:p w14:paraId="074B3944" w14:textId="77777777" w:rsidR="00C754DA" w:rsidRPr="0014735F" w:rsidRDefault="00C754DA" w:rsidP="00C754DA">
      <w:pPr>
        <w:ind w:right="-374"/>
        <w:jc w:val="both"/>
        <w:rPr>
          <w:rFonts w:cs="Arial"/>
          <w:i/>
          <w:szCs w:val="24"/>
        </w:rPr>
      </w:pPr>
      <w:r w:rsidRPr="0014735F">
        <w:rPr>
          <w:rFonts w:cs="Arial"/>
          <w:i/>
          <w:szCs w:val="24"/>
        </w:rPr>
        <w:t>2. La violación del derecho de defensa del investigado.</w:t>
      </w:r>
    </w:p>
    <w:p w14:paraId="6BE09E92" w14:textId="77777777" w:rsidR="00C754DA" w:rsidRPr="0014735F" w:rsidRDefault="00C754DA" w:rsidP="00C754DA">
      <w:pPr>
        <w:ind w:right="-374"/>
        <w:jc w:val="both"/>
        <w:rPr>
          <w:rFonts w:cs="Arial"/>
          <w:i/>
          <w:szCs w:val="24"/>
        </w:rPr>
      </w:pPr>
    </w:p>
    <w:p w14:paraId="23304213" w14:textId="77777777" w:rsidR="00C754DA" w:rsidRPr="0014735F" w:rsidRDefault="00C754DA" w:rsidP="00C754DA">
      <w:pPr>
        <w:ind w:right="-374"/>
        <w:jc w:val="both"/>
        <w:rPr>
          <w:rFonts w:cs="Arial"/>
          <w:i/>
          <w:szCs w:val="24"/>
          <w:u w:val="single"/>
        </w:rPr>
      </w:pPr>
      <w:r w:rsidRPr="0014735F">
        <w:rPr>
          <w:rFonts w:cs="Arial"/>
          <w:i/>
          <w:szCs w:val="24"/>
          <w:u w:val="single"/>
        </w:rPr>
        <w:t>3. La existencia de irregularidades sustanciales que afecten el debido proceso.</w:t>
      </w:r>
    </w:p>
    <w:p w14:paraId="0D639046" w14:textId="77777777" w:rsidR="00C754DA" w:rsidRPr="0014735F" w:rsidRDefault="00C754DA" w:rsidP="00C754DA">
      <w:pPr>
        <w:ind w:right="-374"/>
        <w:jc w:val="both"/>
        <w:rPr>
          <w:rFonts w:cs="Arial"/>
          <w:szCs w:val="24"/>
        </w:rPr>
      </w:pPr>
    </w:p>
    <w:p w14:paraId="3FA277D7" w14:textId="77777777" w:rsidR="00C754DA" w:rsidRPr="0014735F" w:rsidRDefault="00C754DA" w:rsidP="00C754DA">
      <w:pPr>
        <w:ind w:right="-374"/>
        <w:jc w:val="both"/>
        <w:rPr>
          <w:rFonts w:cs="Arial"/>
          <w:b/>
          <w:i/>
          <w:szCs w:val="24"/>
        </w:rPr>
      </w:pPr>
      <w:r w:rsidRPr="0014735F">
        <w:rPr>
          <w:rFonts w:cs="Arial"/>
          <w:b/>
          <w:i/>
          <w:szCs w:val="24"/>
        </w:rPr>
        <w:t>ARTICULO 203. PRINCIPIOS QUE ORIENTAN LA DECLARATORIA DE LAS NULIDADES Y SU CONVALIDACIÓN.</w:t>
      </w:r>
    </w:p>
    <w:p w14:paraId="56DC459A" w14:textId="77777777" w:rsidR="00C754DA" w:rsidRPr="0014735F" w:rsidRDefault="00C754DA" w:rsidP="00C754DA">
      <w:pPr>
        <w:ind w:right="-374"/>
        <w:jc w:val="both"/>
        <w:rPr>
          <w:rFonts w:cs="Arial"/>
          <w:b/>
          <w:i/>
          <w:szCs w:val="24"/>
        </w:rPr>
      </w:pPr>
    </w:p>
    <w:p w14:paraId="5B66FE42" w14:textId="77777777" w:rsidR="00C754DA" w:rsidRPr="0014735F" w:rsidRDefault="00C754DA" w:rsidP="00C754DA">
      <w:pPr>
        <w:ind w:right="-374"/>
        <w:jc w:val="both"/>
        <w:rPr>
          <w:rFonts w:cs="Arial"/>
          <w:i/>
          <w:szCs w:val="24"/>
        </w:rPr>
      </w:pPr>
      <w:r w:rsidRPr="0014735F">
        <w:rPr>
          <w:rFonts w:cs="Arial"/>
          <w:i/>
          <w:szCs w:val="24"/>
        </w:rPr>
        <w:t>1. No se declarará la invalidez de un acto cuando cumpla la finalidad para la cual estaba destinado, siempre que no se viole el derecho a la defensa.</w:t>
      </w:r>
    </w:p>
    <w:p w14:paraId="19351799" w14:textId="77777777" w:rsidR="00C754DA" w:rsidRPr="0014735F" w:rsidRDefault="00C754DA" w:rsidP="00C754DA">
      <w:pPr>
        <w:ind w:right="-374"/>
        <w:jc w:val="both"/>
        <w:rPr>
          <w:rFonts w:cs="Arial"/>
          <w:i/>
          <w:szCs w:val="24"/>
        </w:rPr>
      </w:pPr>
    </w:p>
    <w:p w14:paraId="24D71875" w14:textId="77777777" w:rsidR="00C754DA" w:rsidRPr="0014735F" w:rsidRDefault="00C754DA" w:rsidP="00C754DA">
      <w:pPr>
        <w:ind w:right="-374"/>
        <w:jc w:val="both"/>
        <w:rPr>
          <w:rFonts w:cs="Arial"/>
          <w:i/>
          <w:szCs w:val="24"/>
        </w:rPr>
      </w:pPr>
      <w:r w:rsidRPr="0014735F">
        <w:rPr>
          <w:rFonts w:cs="Arial"/>
          <w:i/>
          <w:szCs w:val="24"/>
        </w:rPr>
        <w:t>2. Quien alegue la nulidad debe demostrar que la irregularidad sustancial afecta garantías de los sujetos procesales, o desconoce las bases fundamentales de la instrucción y el juzgamiento.</w:t>
      </w:r>
    </w:p>
    <w:p w14:paraId="6AD20C1B" w14:textId="77777777" w:rsidR="00C754DA" w:rsidRPr="0014735F" w:rsidRDefault="00C754DA" w:rsidP="00C754DA">
      <w:pPr>
        <w:ind w:right="-374"/>
        <w:jc w:val="both"/>
        <w:rPr>
          <w:rFonts w:cs="Arial"/>
          <w:i/>
          <w:szCs w:val="24"/>
        </w:rPr>
      </w:pPr>
    </w:p>
    <w:p w14:paraId="17274C37" w14:textId="77777777" w:rsidR="00C754DA" w:rsidRPr="0014735F" w:rsidRDefault="00C754DA" w:rsidP="00C754DA">
      <w:pPr>
        <w:ind w:right="-374"/>
        <w:jc w:val="both"/>
        <w:rPr>
          <w:rFonts w:cs="Arial"/>
          <w:i/>
          <w:szCs w:val="24"/>
        </w:rPr>
      </w:pPr>
      <w:r w:rsidRPr="0014735F">
        <w:rPr>
          <w:rFonts w:cs="Arial"/>
          <w:i/>
          <w:szCs w:val="24"/>
        </w:rPr>
        <w:t>3. No puede invocar la nulidad el sujeto procesal que haya coadyuvado con su conducta a la ejecución del acto irregular.</w:t>
      </w:r>
    </w:p>
    <w:p w14:paraId="59A39CBE" w14:textId="77777777" w:rsidR="00C754DA" w:rsidRPr="0014735F" w:rsidRDefault="00C754DA" w:rsidP="00C754DA">
      <w:pPr>
        <w:ind w:right="-374"/>
        <w:jc w:val="both"/>
        <w:rPr>
          <w:rFonts w:cs="Arial"/>
          <w:i/>
          <w:szCs w:val="24"/>
        </w:rPr>
      </w:pPr>
    </w:p>
    <w:p w14:paraId="74C0F8CA" w14:textId="77777777" w:rsidR="00C754DA" w:rsidRPr="0014735F" w:rsidRDefault="00C754DA" w:rsidP="00C754DA">
      <w:pPr>
        <w:ind w:right="-374"/>
        <w:jc w:val="both"/>
        <w:rPr>
          <w:rFonts w:cs="Arial"/>
          <w:i/>
          <w:szCs w:val="24"/>
        </w:rPr>
      </w:pPr>
      <w:r w:rsidRPr="0014735F">
        <w:rPr>
          <w:rFonts w:cs="Arial"/>
          <w:i/>
          <w:szCs w:val="24"/>
        </w:rPr>
        <w:t>4. Los actos irregulares pueden convalidarse por el consentimiento del perjudicado, siempre que se observen las garantías constitucionales.</w:t>
      </w:r>
    </w:p>
    <w:p w14:paraId="2A15606F" w14:textId="77777777" w:rsidR="00C754DA" w:rsidRPr="0014735F" w:rsidRDefault="00C754DA" w:rsidP="00C754DA">
      <w:pPr>
        <w:ind w:right="-374"/>
        <w:jc w:val="both"/>
        <w:rPr>
          <w:rFonts w:cs="Arial"/>
          <w:i/>
          <w:szCs w:val="24"/>
        </w:rPr>
      </w:pPr>
    </w:p>
    <w:p w14:paraId="11215054" w14:textId="77777777" w:rsidR="00C754DA" w:rsidRPr="0014735F" w:rsidRDefault="00C754DA" w:rsidP="00C754DA">
      <w:pPr>
        <w:ind w:right="-374"/>
        <w:jc w:val="both"/>
        <w:rPr>
          <w:rFonts w:cs="Arial"/>
          <w:i/>
          <w:szCs w:val="24"/>
        </w:rPr>
      </w:pPr>
      <w:r w:rsidRPr="0014735F">
        <w:rPr>
          <w:rFonts w:cs="Arial"/>
          <w:i/>
          <w:szCs w:val="24"/>
        </w:rPr>
        <w:t>5. Solo puede decretarse cuando no exista otro medio procesal para subsanar la irregularidad sustancial.</w:t>
      </w:r>
    </w:p>
    <w:p w14:paraId="46135D5D" w14:textId="77777777" w:rsidR="00C754DA" w:rsidRPr="0014735F" w:rsidRDefault="00C754DA" w:rsidP="00C754DA">
      <w:pPr>
        <w:ind w:right="-374"/>
        <w:jc w:val="center"/>
        <w:rPr>
          <w:rFonts w:cs="Arial"/>
          <w:i/>
          <w:szCs w:val="24"/>
        </w:rPr>
      </w:pPr>
    </w:p>
    <w:p w14:paraId="6FF1911F" w14:textId="77777777" w:rsidR="00C754DA" w:rsidRPr="0014735F" w:rsidRDefault="00C754DA" w:rsidP="00C754DA">
      <w:pPr>
        <w:ind w:right="-374"/>
        <w:jc w:val="both"/>
        <w:rPr>
          <w:rFonts w:cs="Arial"/>
          <w:i/>
          <w:szCs w:val="24"/>
        </w:rPr>
      </w:pPr>
      <w:r w:rsidRPr="0014735F">
        <w:rPr>
          <w:rFonts w:cs="Arial"/>
          <w:b/>
          <w:i/>
          <w:szCs w:val="24"/>
        </w:rPr>
        <w:t>ARTÍCULO 205. EFECTOS DE LA DECLARATORIA DE NULIDAD</w:t>
      </w:r>
      <w:r w:rsidRPr="0014735F">
        <w:rPr>
          <w:rFonts w:cs="Arial"/>
          <w:i/>
          <w:szCs w:val="24"/>
        </w:rPr>
        <w:t>. La declaratoria de nulidad afectará la actuación disciplinaria desde el momento en que se presente la causal. Así lo señalará el funcionario competente y ordenará que se reponga la actuación que dependa de la decisión declarada nula.</w:t>
      </w:r>
    </w:p>
    <w:p w14:paraId="21595863" w14:textId="77777777" w:rsidR="00C754DA" w:rsidRPr="0014735F" w:rsidRDefault="00C754DA" w:rsidP="00C754DA">
      <w:pPr>
        <w:ind w:right="-374"/>
        <w:jc w:val="both"/>
        <w:rPr>
          <w:rFonts w:cs="Arial"/>
          <w:i/>
          <w:szCs w:val="24"/>
        </w:rPr>
      </w:pPr>
    </w:p>
    <w:p w14:paraId="7BA086D5" w14:textId="77777777" w:rsidR="00C754DA" w:rsidRPr="0014735F" w:rsidRDefault="00C754DA" w:rsidP="00C754DA">
      <w:pPr>
        <w:ind w:right="-374"/>
        <w:jc w:val="both"/>
        <w:rPr>
          <w:rFonts w:cs="Arial"/>
          <w:i/>
          <w:szCs w:val="24"/>
        </w:rPr>
      </w:pPr>
      <w:r w:rsidRPr="0014735F">
        <w:rPr>
          <w:rFonts w:cs="Arial"/>
          <w:i/>
          <w:szCs w:val="24"/>
        </w:rPr>
        <w:t>La declaratoria de nulidad de la actuación disciplinaria no invalida las pruebas allegadas y practicadas legalmente.</w:t>
      </w:r>
    </w:p>
    <w:p w14:paraId="58619469" w14:textId="77777777" w:rsidR="00C754DA" w:rsidRPr="0014735F" w:rsidRDefault="00C754DA" w:rsidP="00C754DA">
      <w:pPr>
        <w:ind w:right="-374"/>
        <w:jc w:val="both"/>
        <w:rPr>
          <w:rFonts w:cs="Arial"/>
          <w:i/>
          <w:szCs w:val="24"/>
        </w:rPr>
      </w:pPr>
    </w:p>
    <w:p w14:paraId="328763E0" w14:textId="77777777" w:rsidR="00C754DA" w:rsidRPr="0014735F" w:rsidRDefault="00C754DA" w:rsidP="00C754DA">
      <w:pPr>
        <w:ind w:right="-374"/>
        <w:jc w:val="both"/>
        <w:rPr>
          <w:rFonts w:cs="Arial"/>
          <w:i/>
          <w:szCs w:val="24"/>
        </w:rPr>
      </w:pPr>
      <w:r w:rsidRPr="0014735F">
        <w:rPr>
          <w:rFonts w:cs="Arial"/>
          <w:b/>
          <w:i/>
          <w:szCs w:val="24"/>
        </w:rPr>
        <w:t>ARTÍCULO 206. REQUISITOS DE LA SOLICITUD DE NULIDAD</w:t>
      </w:r>
      <w:r w:rsidRPr="0014735F">
        <w:rPr>
          <w:rFonts w:cs="Arial"/>
          <w:i/>
          <w:szCs w:val="24"/>
        </w:rPr>
        <w:t>. &lt;Artículo modificado por el artículo 32 de la Ley 2094 de 2021. El nuevo texto es el siguiente:&gt; La solicitud de nulidad podrá formularse hasta antes de dar traslado para alegatos de conclusión y deberá indicar en forma concreta la causal o causales respectivas, así como expresar los fundamentos de hecho y de derecho que la sustenten”.</w:t>
      </w:r>
    </w:p>
    <w:p w14:paraId="0F0F5927" w14:textId="77777777" w:rsidR="00C754DA" w:rsidRPr="0014735F" w:rsidRDefault="00C754DA" w:rsidP="00C754DA">
      <w:pPr>
        <w:ind w:right="-374"/>
        <w:jc w:val="center"/>
        <w:rPr>
          <w:rFonts w:cs="Arial"/>
          <w:szCs w:val="24"/>
        </w:rPr>
      </w:pPr>
    </w:p>
    <w:p w14:paraId="5ADBD94D" w14:textId="77777777" w:rsidR="00C754DA" w:rsidRPr="0014735F" w:rsidRDefault="00C754DA" w:rsidP="00C754DA">
      <w:pPr>
        <w:ind w:right="-374"/>
        <w:jc w:val="both"/>
        <w:rPr>
          <w:rFonts w:cs="Arial"/>
          <w:szCs w:val="24"/>
          <w:lang w:val="es-ES"/>
        </w:rPr>
      </w:pPr>
      <w:r w:rsidRPr="0014735F">
        <w:rPr>
          <w:rFonts w:cs="Arial"/>
          <w:szCs w:val="24"/>
          <w:lang w:val="es-ES"/>
        </w:rPr>
        <w:t>Antes de proseguir con el temario, debemos advertir que nuestra norma adjetiva invistió de unas solemnidades de tipo procesal para incoar la nulidad, al respecto el artículo 206 de Cogido General Disciplinario, manifiesta;</w:t>
      </w:r>
    </w:p>
    <w:p w14:paraId="3F2C384A" w14:textId="77777777" w:rsidR="00C754DA" w:rsidRPr="0014735F" w:rsidRDefault="00C754DA" w:rsidP="00C754DA">
      <w:pPr>
        <w:ind w:right="-374"/>
        <w:jc w:val="both"/>
        <w:rPr>
          <w:rFonts w:cs="Arial"/>
          <w:i/>
          <w:szCs w:val="24"/>
          <w:lang w:val="es-ES"/>
        </w:rPr>
      </w:pPr>
    </w:p>
    <w:p w14:paraId="1E783624" w14:textId="77777777" w:rsidR="00C754DA" w:rsidRPr="0014735F" w:rsidRDefault="00C754DA" w:rsidP="00C754DA">
      <w:pPr>
        <w:ind w:right="-374"/>
        <w:jc w:val="both"/>
        <w:rPr>
          <w:rFonts w:cs="Arial"/>
          <w:i/>
          <w:szCs w:val="24"/>
          <w:lang w:val="es-CO"/>
        </w:rPr>
      </w:pPr>
      <w:r w:rsidRPr="0014735F">
        <w:rPr>
          <w:rFonts w:cs="Arial"/>
          <w:i/>
          <w:szCs w:val="24"/>
          <w:lang w:val="es-ES"/>
        </w:rPr>
        <w:t>“</w:t>
      </w:r>
      <w:r w:rsidRPr="0014735F">
        <w:rPr>
          <w:rFonts w:cs="Arial"/>
          <w:i/>
          <w:szCs w:val="24"/>
        </w:rPr>
        <w:t>La solicitud de nulidad podrá formularse hasta antes de dar traslado para alegatos de conclusión y deberá indicar en forma concreta la causal o causales respectivas, así como expresar los fundamentos de hecho y de derecho que la sustenten</w:t>
      </w:r>
      <w:r w:rsidRPr="0014735F">
        <w:rPr>
          <w:rFonts w:cs="Arial"/>
          <w:i/>
          <w:szCs w:val="24"/>
          <w:lang w:val="es-CO"/>
        </w:rPr>
        <w:t>”.</w:t>
      </w:r>
    </w:p>
    <w:p w14:paraId="04C1D2F5" w14:textId="77777777" w:rsidR="00C754DA" w:rsidRPr="0014735F" w:rsidRDefault="00C754DA" w:rsidP="00C754DA">
      <w:pPr>
        <w:ind w:right="-374"/>
        <w:jc w:val="both"/>
        <w:rPr>
          <w:rFonts w:cs="Arial"/>
          <w:szCs w:val="24"/>
          <w:lang w:val="es-ES"/>
        </w:rPr>
      </w:pPr>
    </w:p>
    <w:p w14:paraId="1AC6A63F" w14:textId="77777777" w:rsidR="00C754DA" w:rsidRPr="0014735F" w:rsidRDefault="00C754DA" w:rsidP="00C754DA">
      <w:pPr>
        <w:ind w:right="-374"/>
        <w:jc w:val="both"/>
        <w:rPr>
          <w:rFonts w:cs="Arial"/>
          <w:szCs w:val="24"/>
          <w:lang w:val="es-ES"/>
        </w:rPr>
      </w:pPr>
      <w:r w:rsidRPr="0014735F">
        <w:rPr>
          <w:rFonts w:cs="Arial"/>
          <w:szCs w:val="24"/>
          <w:lang w:val="es-ES"/>
        </w:rPr>
        <w:t>Bajo el asunto de marras, y de conformidad al escrito allegado al menester de esta actuación disciplinaria, tenemos que el escrito cumple a cabalidad con cada uno de los requisitos indicados en la norma precitada, nótese como en el texto el defensor invoca claramente la causal de nulidad que pretende que se declare, además la fundamente con un relato factico-jurídico base de su petición, y nos encontramos en la etapa de descargos del procedimiento ordinario.</w:t>
      </w:r>
    </w:p>
    <w:p w14:paraId="51E47CED" w14:textId="77777777" w:rsidR="00C754DA" w:rsidRPr="0014735F" w:rsidRDefault="00C754DA" w:rsidP="00C754DA">
      <w:pPr>
        <w:ind w:right="-374"/>
        <w:jc w:val="both"/>
        <w:rPr>
          <w:rFonts w:cs="Arial"/>
          <w:szCs w:val="24"/>
        </w:rPr>
      </w:pPr>
    </w:p>
    <w:p w14:paraId="45997939" w14:textId="532FF8C9" w:rsidR="00C754DA" w:rsidRPr="0014735F" w:rsidRDefault="00C754DA" w:rsidP="00C754DA">
      <w:pPr>
        <w:ind w:right="-374"/>
        <w:jc w:val="both"/>
        <w:rPr>
          <w:rFonts w:cs="Arial"/>
          <w:szCs w:val="24"/>
        </w:rPr>
      </w:pPr>
      <w:r w:rsidRPr="0014735F">
        <w:rPr>
          <w:rFonts w:cs="Arial"/>
          <w:szCs w:val="24"/>
        </w:rPr>
        <w:lastRenderedPageBreak/>
        <w:t xml:space="preserve">Continuando, como lo ha precisado la doctrina disciplinaria la nulidad sólo procede cuando se presenta un vicio irremediable, sin que exista </w:t>
      </w:r>
      <w:r w:rsidR="003C2A4B" w:rsidRPr="0014735F">
        <w:rPr>
          <w:rFonts w:cs="Arial"/>
          <w:szCs w:val="24"/>
        </w:rPr>
        <w:t>algún</w:t>
      </w:r>
      <w:r w:rsidRPr="0014735F">
        <w:rPr>
          <w:rFonts w:cs="Arial"/>
          <w:szCs w:val="24"/>
        </w:rPr>
        <w:t xml:space="preserve"> otro mecanismo idóneo que se pueda subsanar. </w:t>
      </w:r>
    </w:p>
    <w:p w14:paraId="2BCC537A" w14:textId="77777777" w:rsidR="00C754DA" w:rsidRPr="0014735F" w:rsidRDefault="00C754DA" w:rsidP="00C754DA">
      <w:pPr>
        <w:ind w:right="-374"/>
        <w:jc w:val="both"/>
        <w:rPr>
          <w:rFonts w:cs="Arial"/>
          <w:szCs w:val="24"/>
        </w:rPr>
      </w:pPr>
    </w:p>
    <w:p w14:paraId="58AB4C01" w14:textId="77777777" w:rsidR="00C754DA" w:rsidRPr="0014735F" w:rsidRDefault="00C754DA" w:rsidP="00C754DA">
      <w:pPr>
        <w:ind w:right="-374"/>
        <w:jc w:val="both"/>
        <w:rPr>
          <w:rFonts w:cs="Arial"/>
          <w:szCs w:val="24"/>
        </w:rPr>
      </w:pPr>
      <w:r w:rsidRPr="0014735F">
        <w:rPr>
          <w:rFonts w:cs="Arial"/>
          <w:szCs w:val="24"/>
        </w:rPr>
        <w:t>En igual sentido, la máxima autoridad del Ministerio Público en Directiva No. 010 de mayo 23 de 2005, con relación a la declaratoria de nulidad consignó:</w:t>
      </w:r>
    </w:p>
    <w:p w14:paraId="3E8FB6A7" w14:textId="77777777" w:rsidR="00C754DA" w:rsidRPr="0014735F" w:rsidRDefault="00C754DA" w:rsidP="00C754DA">
      <w:pPr>
        <w:ind w:right="-374"/>
        <w:jc w:val="both"/>
        <w:rPr>
          <w:rFonts w:cs="Arial"/>
          <w:szCs w:val="24"/>
        </w:rPr>
      </w:pPr>
      <w:r w:rsidRPr="0014735F">
        <w:rPr>
          <w:rFonts w:cs="Arial"/>
          <w:szCs w:val="24"/>
        </w:rPr>
        <w:t> </w:t>
      </w:r>
    </w:p>
    <w:p w14:paraId="2A5EFAE9" w14:textId="77777777" w:rsidR="00C754DA" w:rsidRPr="0014735F" w:rsidRDefault="00C754DA" w:rsidP="00C754DA">
      <w:pPr>
        <w:ind w:right="-374"/>
        <w:jc w:val="both"/>
        <w:rPr>
          <w:rFonts w:cs="Arial"/>
          <w:b/>
          <w:bCs/>
          <w:szCs w:val="24"/>
        </w:rPr>
      </w:pPr>
      <w:r w:rsidRPr="0014735F">
        <w:rPr>
          <w:rFonts w:cs="Arial"/>
          <w:b/>
          <w:bCs/>
          <w:szCs w:val="24"/>
        </w:rPr>
        <w:t xml:space="preserve">  “…La declaratoria de nulidad no procede ante la presencia de cualquier irregularidad, sino cuando la misma trasciende a la existencia de un vicio irremediable, caso en el cual reclama su reconocimiento por el mecanismo de nulidad; </w:t>
      </w:r>
    </w:p>
    <w:p w14:paraId="18CC991C" w14:textId="77777777" w:rsidR="00C754DA" w:rsidRPr="0014735F" w:rsidRDefault="00C754DA" w:rsidP="00C754DA">
      <w:pPr>
        <w:ind w:right="-374"/>
        <w:jc w:val="both"/>
        <w:rPr>
          <w:rFonts w:cs="Arial"/>
          <w:b/>
          <w:bCs/>
          <w:szCs w:val="24"/>
        </w:rPr>
      </w:pPr>
    </w:p>
    <w:p w14:paraId="7C1A8030" w14:textId="77777777" w:rsidR="00C754DA" w:rsidRPr="0014735F" w:rsidRDefault="00C754DA" w:rsidP="00C754DA">
      <w:pPr>
        <w:ind w:right="-374"/>
        <w:jc w:val="both"/>
        <w:rPr>
          <w:rFonts w:cs="Arial"/>
          <w:b/>
          <w:bCs/>
          <w:szCs w:val="24"/>
        </w:rPr>
      </w:pPr>
      <w:r w:rsidRPr="0014735F">
        <w:rPr>
          <w:rFonts w:cs="Arial"/>
          <w:b/>
          <w:bCs/>
          <w:szCs w:val="24"/>
        </w:rPr>
        <w:t>La nulidad sólo puede ser declarada una vez el funcionario haya constatado que no existe remedio procesal diferente y que la decisión está informada por los criterios señalados en el artículo 310 de la ley 600 de 2000, por virtud de lo ordenado por el parágrafo del artículo 143 de la ley 734 de 2002, por tanto, el funcionario debe dejar claramente sentado en la decisión…”.</w:t>
      </w:r>
    </w:p>
    <w:p w14:paraId="1FB4BA69" w14:textId="77777777" w:rsidR="00C754DA" w:rsidRPr="0014735F" w:rsidRDefault="00C754DA" w:rsidP="00C754DA">
      <w:pPr>
        <w:ind w:right="-374"/>
        <w:jc w:val="both"/>
        <w:rPr>
          <w:rFonts w:cs="Arial"/>
          <w:b/>
          <w:bCs/>
          <w:szCs w:val="24"/>
        </w:rPr>
      </w:pPr>
    </w:p>
    <w:p w14:paraId="7360031E" w14:textId="1BF45716" w:rsidR="00C754DA" w:rsidRPr="0014735F" w:rsidRDefault="00C754DA" w:rsidP="00C754DA">
      <w:pPr>
        <w:ind w:right="-374"/>
        <w:jc w:val="both"/>
        <w:rPr>
          <w:rFonts w:cs="Arial"/>
          <w:bCs/>
          <w:szCs w:val="24"/>
        </w:rPr>
      </w:pPr>
      <w:r w:rsidRPr="0014735F">
        <w:rPr>
          <w:rFonts w:cs="Arial"/>
          <w:bCs/>
          <w:szCs w:val="24"/>
        </w:rPr>
        <w:t xml:space="preserve">Compartiendo la óptica que desarrolla la directiva anteriormente precitada, el Despacho advierte que, no es cierto que se haya vulnerado en la respectiva instancia el debido proceso del investigado al endilgarle una conducta atípica, según como se argumenta en el escrito de nulidad, por ello, tal como se desarrollará en el respectivo temario de esta decisión, se argumentará </w:t>
      </w:r>
      <w:r w:rsidR="0014735F" w:rsidRPr="0014735F">
        <w:rPr>
          <w:rFonts w:cs="Arial"/>
          <w:bCs/>
          <w:szCs w:val="24"/>
        </w:rPr>
        <w:t>a groso</w:t>
      </w:r>
      <w:r w:rsidR="003C2A4B" w:rsidRPr="0014735F">
        <w:rPr>
          <w:rFonts w:cs="Arial"/>
          <w:bCs/>
          <w:szCs w:val="24"/>
        </w:rPr>
        <w:t xml:space="preserve"> </w:t>
      </w:r>
      <w:r w:rsidRPr="0014735F">
        <w:rPr>
          <w:rFonts w:cs="Arial"/>
          <w:bCs/>
          <w:szCs w:val="24"/>
        </w:rPr>
        <w:t xml:space="preserve">modo por este suscrito, cómo el derecho disciplinario es una rama del </w:t>
      </w:r>
      <w:proofErr w:type="spellStart"/>
      <w:r w:rsidRPr="0014735F">
        <w:rPr>
          <w:rFonts w:cs="Arial"/>
          <w:bCs/>
          <w:szCs w:val="24"/>
        </w:rPr>
        <w:t>ius</w:t>
      </w:r>
      <w:proofErr w:type="spellEnd"/>
      <w:r w:rsidRPr="0014735F">
        <w:rPr>
          <w:rFonts w:cs="Arial"/>
          <w:bCs/>
          <w:szCs w:val="24"/>
        </w:rPr>
        <w:t xml:space="preserve"> </w:t>
      </w:r>
      <w:proofErr w:type="spellStart"/>
      <w:r w:rsidRPr="0014735F">
        <w:rPr>
          <w:rFonts w:cs="Arial"/>
          <w:bCs/>
          <w:szCs w:val="24"/>
        </w:rPr>
        <w:t>puniendi</w:t>
      </w:r>
      <w:proofErr w:type="spellEnd"/>
      <w:r w:rsidRPr="0014735F">
        <w:rPr>
          <w:rFonts w:cs="Arial"/>
          <w:bCs/>
          <w:szCs w:val="24"/>
        </w:rPr>
        <w:t xml:space="preserve"> cuyo fin es encausar las conductas de los servidores públicos a los principios y deberes que se marcan en las leyes y norma </w:t>
      </w:r>
      <w:proofErr w:type="spellStart"/>
      <w:r w:rsidRPr="0014735F">
        <w:rPr>
          <w:rFonts w:cs="Arial"/>
          <w:bCs/>
          <w:szCs w:val="24"/>
        </w:rPr>
        <w:t>supralegal</w:t>
      </w:r>
      <w:proofErr w:type="spellEnd"/>
      <w:r w:rsidRPr="0014735F">
        <w:rPr>
          <w:rFonts w:cs="Arial"/>
          <w:bCs/>
          <w:szCs w:val="24"/>
        </w:rPr>
        <w:t xml:space="preserve"> de nuestro ordenamiento jurídico, luego entonces, a la hora de efectuar la tipicidad de la conducta, está cuenta con un amplio margen de flexibilidad interpretativa, distinta a las otras ramas del </w:t>
      </w:r>
      <w:proofErr w:type="spellStart"/>
      <w:r w:rsidRPr="0014735F">
        <w:rPr>
          <w:rFonts w:cs="Arial"/>
          <w:bCs/>
          <w:szCs w:val="24"/>
        </w:rPr>
        <w:t>Ius</w:t>
      </w:r>
      <w:proofErr w:type="spellEnd"/>
      <w:r w:rsidRPr="0014735F">
        <w:rPr>
          <w:rFonts w:cs="Arial"/>
          <w:bCs/>
          <w:szCs w:val="24"/>
        </w:rPr>
        <w:t xml:space="preserve"> </w:t>
      </w:r>
      <w:proofErr w:type="spellStart"/>
      <w:r w:rsidRPr="0014735F">
        <w:rPr>
          <w:rFonts w:cs="Arial"/>
          <w:bCs/>
          <w:szCs w:val="24"/>
        </w:rPr>
        <w:t>Puniendi</w:t>
      </w:r>
      <w:proofErr w:type="spellEnd"/>
      <w:r w:rsidRPr="0014735F">
        <w:rPr>
          <w:rFonts w:cs="Arial"/>
          <w:bCs/>
          <w:szCs w:val="24"/>
        </w:rPr>
        <w:t xml:space="preserve">.  </w:t>
      </w:r>
    </w:p>
    <w:p w14:paraId="45647FD9" w14:textId="77777777" w:rsidR="00C754DA" w:rsidRPr="0014735F" w:rsidRDefault="00C754DA" w:rsidP="00C754DA">
      <w:pPr>
        <w:ind w:right="-374"/>
        <w:jc w:val="both"/>
        <w:rPr>
          <w:rFonts w:cs="Arial"/>
          <w:szCs w:val="24"/>
        </w:rPr>
      </w:pPr>
    </w:p>
    <w:p w14:paraId="3B897BAD" w14:textId="3CDAF8FB" w:rsidR="00C754DA" w:rsidRPr="00BD6CEA" w:rsidRDefault="00C754DA" w:rsidP="00BD6CEA">
      <w:pPr>
        <w:pStyle w:val="Prrafodelista"/>
        <w:numPr>
          <w:ilvl w:val="0"/>
          <w:numId w:val="2"/>
        </w:numPr>
        <w:ind w:right="-374"/>
        <w:jc w:val="both"/>
        <w:rPr>
          <w:rFonts w:cs="Arial"/>
          <w:b/>
          <w:szCs w:val="24"/>
        </w:rPr>
      </w:pPr>
      <w:r w:rsidRPr="00BD6CEA">
        <w:rPr>
          <w:rFonts w:cs="Arial"/>
          <w:b/>
          <w:szCs w:val="24"/>
        </w:rPr>
        <w:t xml:space="preserve">TIPICIDAD DE LA FALTA DISCIPLINARIA </w:t>
      </w:r>
    </w:p>
    <w:p w14:paraId="245A7F81" w14:textId="77777777" w:rsidR="00C754DA" w:rsidRPr="0014735F" w:rsidRDefault="00C754DA" w:rsidP="00C754DA">
      <w:pPr>
        <w:ind w:right="-374"/>
        <w:jc w:val="both"/>
        <w:rPr>
          <w:rFonts w:cs="Arial"/>
          <w:b/>
          <w:szCs w:val="24"/>
        </w:rPr>
      </w:pPr>
    </w:p>
    <w:p w14:paraId="3EDA41AB" w14:textId="77777777" w:rsidR="00C754DA" w:rsidRPr="0014735F" w:rsidRDefault="00C754DA" w:rsidP="00C754DA">
      <w:pPr>
        <w:ind w:right="-374"/>
        <w:jc w:val="both"/>
        <w:rPr>
          <w:rFonts w:cs="Arial"/>
          <w:szCs w:val="24"/>
        </w:rPr>
      </w:pPr>
      <w:r w:rsidRPr="0014735F">
        <w:rPr>
          <w:rFonts w:cs="Arial"/>
          <w:szCs w:val="24"/>
        </w:rPr>
        <w:t>La tipicidad es la categoría dogmática de la falta que, encuentra su sustento en el principio de legalidad, que se relaciona con el debido proceso, en el entendido que, nadie puede ser juzgado si no por una infracción, falta o delito descrito previamente por la ley, bajo este mismo raciocinio se encuentra acorde el artículo 29 de la Constitución Nacional, por otro lado, en término de las Altas Cortes, este principio cumple con la finalidad de brindar seguridad jurídica, al establecer de forma inequívoca los comportamientos que son sancionables.</w:t>
      </w:r>
    </w:p>
    <w:p w14:paraId="561613BD" w14:textId="77777777" w:rsidR="00C754DA" w:rsidRPr="0014735F" w:rsidRDefault="00C754DA" w:rsidP="00C754DA">
      <w:pPr>
        <w:ind w:right="-374"/>
        <w:jc w:val="both"/>
        <w:rPr>
          <w:rFonts w:cs="Arial"/>
          <w:szCs w:val="24"/>
        </w:rPr>
      </w:pPr>
    </w:p>
    <w:p w14:paraId="2800129A" w14:textId="77777777" w:rsidR="00C754DA" w:rsidRPr="0014735F" w:rsidRDefault="00C754DA" w:rsidP="00C754DA">
      <w:pPr>
        <w:ind w:right="-374"/>
        <w:jc w:val="both"/>
        <w:rPr>
          <w:rFonts w:cs="Arial"/>
          <w:szCs w:val="24"/>
        </w:rPr>
      </w:pPr>
      <w:r w:rsidRPr="0014735F">
        <w:rPr>
          <w:rFonts w:cs="Arial"/>
          <w:szCs w:val="24"/>
        </w:rPr>
        <w:t xml:space="preserve">Por consiguiente, la autoridad disciplinaria, al momento de motivar  el acto administrativo en cuanto a la tipicidad de la falta, está cuenta con un alto margen de </w:t>
      </w:r>
      <w:r w:rsidRPr="0014735F">
        <w:rPr>
          <w:rFonts w:cs="Arial"/>
          <w:szCs w:val="24"/>
        </w:rPr>
        <w:lastRenderedPageBreak/>
        <w:t>interpretación más amplio que en el derecho penal, toda vez que, es imposible hacer un listado de todas las faltas disciplinariamente reprochables, es por ello que, la formulación de conceptos como tipos abiertos, y en blanco, hace necesario remitirse a otras normas en las que se encuentren consagrados los deberes, las funciones o las prohibiciones que se imponen en el ejercicio del cargo, exigiendo a la autoridad un análisis hermenéutico y lógico en forma eficaz de como la conducta se subsume en la descripción del tipo descrita en la Ley.</w:t>
      </w:r>
    </w:p>
    <w:p w14:paraId="25D668BA" w14:textId="77777777" w:rsidR="00C754DA" w:rsidRPr="0014735F" w:rsidRDefault="00C754DA" w:rsidP="00C754DA">
      <w:pPr>
        <w:ind w:right="-374"/>
        <w:jc w:val="both"/>
        <w:rPr>
          <w:rFonts w:cs="Arial"/>
          <w:szCs w:val="24"/>
        </w:rPr>
      </w:pPr>
    </w:p>
    <w:p w14:paraId="2D7C65B0" w14:textId="77777777" w:rsidR="00C754DA" w:rsidRPr="0014735F" w:rsidRDefault="00C754DA" w:rsidP="00C754DA">
      <w:pPr>
        <w:ind w:right="-374"/>
        <w:jc w:val="both"/>
        <w:rPr>
          <w:rFonts w:cs="Arial"/>
          <w:szCs w:val="24"/>
        </w:rPr>
      </w:pPr>
      <w:r w:rsidRPr="0014735F">
        <w:rPr>
          <w:rFonts w:cs="Arial"/>
          <w:szCs w:val="24"/>
        </w:rPr>
        <w:t>Bajo esta tesitura, el máximo Órgano Constitucional manifestó lo siguiente;</w:t>
      </w:r>
    </w:p>
    <w:p w14:paraId="1855DAAB" w14:textId="77777777" w:rsidR="00C754DA" w:rsidRPr="0014735F" w:rsidRDefault="00C754DA" w:rsidP="00C754DA">
      <w:pPr>
        <w:ind w:right="-374"/>
        <w:jc w:val="both"/>
        <w:rPr>
          <w:rFonts w:cs="Arial"/>
          <w:szCs w:val="24"/>
        </w:rPr>
      </w:pPr>
    </w:p>
    <w:p w14:paraId="30B2A1C5" w14:textId="77777777" w:rsidR="00C754DA" w:rsidRPr="0014735F" w:rsidRDefault="00C754DA" w:rsidP="00C754DA">
      <w:pPr>
        <w:ind w:right="-374"/>
        <w:jc w:val="both"/>
        <w:rPr>
          <w:rFonts w:cs="Arial"/>
          <w:i/>
          <w:szCs w:val="24"/>
          <w:lang w:val="es-CO"/>
        </w:rPr>
      </w:pPr>
      <w:r w:rsidRPr="0014735F">
        <w:rPr>
          <w:rFonts w:cs="Arial"/>
          <w:i/>
          <w:szCs w:val="24"/>
          <w:lang w:val="es-CO"/>
        </w:rPr>
        <w:t>“No obstante y como ya se mencionó, si bien el principio de tipicidad es plenamente exigible en el derecho disciplinario, éste se aplica con una mayor flexibilidad y menor rigurosidad en este ámbito. Lo anterior, por cuanto “la naturaleza de las conductas reprimidas, los bienes jurídicos involucrados, la teleología de las facultades sancionatorias, los sujetos disciplinables y los efectos jurídicos que se producen frente a la comunidad, hacen que la tipicidad en materia disciplinaria admita -en principio- cierta flexibilidad”</w:t>
      </w:r>
      <w:r w:rsidRPr="0014735F">
        <w:rPr>
          <w:rFonts w:cs="Arial"/>
          <w:i/>
          <w:szCs w:val="24"/>
          <w:vertAlign w:val="superscript"/>
          <w:lang w:val="es-CO"/>
        </w:rPr>
        <w:t xml:space="preserve"> </w:t>
      </w:r>
      <w:r w:rsidRPr="0014735F">
        <w:rPr>
          <w:rFonts w:cs="Arial"/>
          <w:i/>
          <w:szCs w:val="24"/>
          <w:vertAlign w:val="superscript"/>
          <w:lang w:val="es-CO"/>
        </w:rPr>
        <w:footnoteReference w:id="1"/>
      </w:r>
      <w:r w:rsidRPr="0014735F">
        <w:rPr>
          <w:rFonts w:cs="Arial"/>
          <w:i/>
          <w:szCs w:val="24"/>
          <w:lang w:val="es-CO"/>
        </w:rPr>
        <w:t xml:space="preserve">. Para la Corte, la razón fundamental de esta característica del derecho disciplinario se origina en la naturaleza misma de las normas disciplinarias, toda vez que éstas suelen carecer de </w:t>
      </w:r>
      <w:proofErr w:type="spellStart"/>
      <w:r w:rsidRPr="0014735F">
        <w:rPr>
          <w:rFonts w:cs="Arial"/>
          <w:i/>
          <w:szCs w:val="24"/>
          <w:lang w:val="es-CO"/>
        </w:rPr>
        <w:t>completud</w:t>
      </w:r>
      <w:proofErr w:type="spellEnd"/>
      <w:r w:rsidRPr="0014735F">
        <w:rPr>
          <w:rFonts w:cs="Arial"/>
          <w:i/>
          <w:szCs w:val="24"/>
          <w:lang w:val="es-CO"/>
        </w:rPr>
        <w:t xml:space="preserve"> y autonomía, ya que es necesario remitirse a otras preceptivas en donde se encuentren regulados en concreto los deberes, funciones, obligaciones o prohibiciones para los diferentes servidores públicos, teniendo en cuenta los cargos y ramas del poder público a los que pertenezcan.</w:t>
      </w:r>
      <w:r w:rsidRPr="0014735F">
        <w:rPr>
          <w:rFonts w:cs="Arial"/>
          <w:i/>
          <w:szCs w:val="24"/>
          <w:vertAlign w:val="superscript"/>
          <w:lang w:val="es-CO"/>
        </w:rPr>
        <w:t xml:space="preserve"> </w:t>
      </w:r>
      <w:r w:rsidRPr="0014735F">
        <w:rPr>
          <w:rFonts w:cs="Arial"/>
          <w:i/>
          <w:szCs w:val="24"/>
          <w:vertAlign w:val="superscript"/>
          <w:lang w:val="es-CO"/>
        </w:rPr>
        <w:footnoteReference w:id="2"/>
      </w:r>
      <w:r w:rsidRPr="0014735F">
        <w:rPr>
          <w:rFonts w:cs="Arial"/>
          <w:i/>
          <w:szCs w:val="24"/>
          <w:lang w:val="es-CO"/>
        </w:rPr>
        <w:t xml:space="preserve"> </w:t>
      </w:r>
    </w:p>
    <w:p w14:paraId="4FF4DFA0" w14:textId="77777777" w:rsidR="00C754DA" w:rsidRPr="0014735F" w:rsidRDefault="00C754DA" w:rsidP="00C754DA">
      <w:pPr>
        <w:ind w:right="-374"/>
        <w:jc w:val="both"/>
        <w:rPr>
          <w:rFonts w:cs="Arial"/>
          <w:i/>
          <w:szCs w:val="24"/>
          <w:lang w:val="es-CO"/>
        </w:rPr>
      </w:pPr>
    </w:p>
    <w:p w14:paraId="0033EDE5" w14:textId="77777777" w:rsidR="00C754DA" w:rsidRPr="0014735F" w:rsidRDefault="00C754DA" w:rsidP="00C754DA">
      <w:pPr>
        <w:ind w:right="-374"/>
        <w:jc w:val="both"/>
        <w:rPr>
          <w:rFonts w:cs="Arial"/>
          <w:i/>
          <w:szCs w:val="24"/>
          <w:lang w:val="es-CO"/>
        </w:rPr>
      </w:pPr>
      <w:r w:rsidRPr="0014735F">
        <w:rPr>
          <w:rFonts w:cs="Arial"/>
          <w:i/>
          <w:szCs w:val="24"/>
          <w:lang w:val="es-CO"/>
        </w:rPr>
        <w:t>De esta forma, esta Corporación ha aclarado que en el derecho disciplinario la regla general es que la aplicación de sus normas generales se lleve a cabo a partir de una interpretación sistemática y de una remisión a aquellas otras normas que contienen la prescripción de las funciones, deberes, obligaciones o prohibiciones concretas respecto del cargo o función cuyo ejercicio se le ha encomendado a los servidores públicos, y cuyo incumplimiento genera una falta disciplinaria.</w:t>
      </w:r>
      <w:r w:rsidRPr="0014735F">
        <w:rPr>
          <w:rFonts w:cs="Arial"/>
          <w:i/>
          <w:szCs w:val="24"/>
          <w:vertAlign w:val="superscript"/>
          <w:lang w:val="es-CO"/>
        </w:rPr>
        <w:footnoteReference w:id="3"/>
      </w:r>
      <w:r w:rsidRPr="0014735F">
        <w:rPr>
          <w:rFonts w:cs="Arial"/>
          <w:i/>
          <w:szCs w:val="24"/>
          <w:lang w:val="es-CO"/>
        </w:rPr>
        <w:t xml:space="preserve"> Esta forma de definir la tipicidad de la conducta a través de la remisión a normas complementarias, comporta un método conocido por la doctrina y la jurisprudencia como el de las normas o tipos en blanco, que consiste precisamente “en descripciones incompletas de las conductas sancionadas, o en disposiciones que no prevén la sanción correspondiente, pero que en todo caso pueden ser complementadas por otras normas a las cuales remiten las primeras”</w:t>
      </w:r>
      <w:r w:rsidRPr="0014735F">
        <w:rPr>
          <w:rFonts w:cs="Arial"/>
          <w:i/>
          <w:szCs w:val="24"/>
          <w:vertAlign w:val="superscript"/>
          <w:lang w:val="es-CO"/>
        </w:rPr>
        <w:footnoteReference w:id="4"/>
      </w:r>
      <w:r w:rsidRPr="0014735F">
        <w:rPr>
          <w:rFonts w:cs="Arial"/>
          <w:i/>
          <w:szCs w:val="24"/>
          <w:lang w:val="es-CO"/>
        </w:rPr>
        <w:t xml:space="preserve">. </w:t>
      </w:r>
    </w:p>
    <w:p w14:paraId="633A2BD4" w14:textId="77777777" w:rsidR="00C754DA" w:rsidRPr="0014735F" w:rsidRDefault="00C754DA" w:rsidP="00C754DA">
      <w:pPr>
        <w:ind w:right="-374"/>
        <w:jc w:val="both"/>
        <w:rPr>
          <w:rFonts w:cs="Arial"/>
          <w:szCs w:val="24"/>
          <w:lang w:val="es-CO"/>
        </w:rPr>
      </w:pPr>
    </w:p>
    <w:p w14:paraId="49B0425A" w14:textId="77777777" w:rsidR="00C754DA" w:rsidRPr="0014735F" w:rsidRDefault="00C754DA" w:rsidP="00C754DA">
      <w:pPr>
        <w:ind w:right="-374"/>
        <w:jc w:val="both"/>
        <w:rPr>
          <w:rFonts w:cs="Arial"/>
          <w:szCs w:val="24"/>
        </w:rPr>
      </w:pPr>
      <w:r w:rsidRPr="0014735F">
        <w:rPr>
          <w:rFonts w:cs="Arial"/>
          <w:szCs w:val="24"/>
        </w:rPr>
        <w:t xml:space="preserve">En efecto, el concepto de tipos abiertos en materia Disciplinaria, hace hincapié en una estructura con un texto normativo abierto, que requiere de un conjunto normativo para su interpretación, por esta razón, se necesita de un análisis interpretativo y lógico a la hora de hacer la adecuación normativa, y las que, en concreto, determine los deberes, prohibiciones.   </w:t>
      </w:r>
    </w:p>
    <w:p w14:paraId="09EE52DC" w14:textId="77777777" w:rsidR="00C754DA" w:rsidRPr="0014735F" w:rsidRDefault="00C754DA" w:rsidP="00C754DA">
      <w:pPr>
        <w:ind w:right="-374"/>
        <w:jc w:val="both"/>
        <w:rPr>
          <w:rFonts w:cs="Arial"/>
          <w:szCs w:val="24"/>
        </w:rPr>
      </w:pPr>
    </w:p>
    <w:p w14:paraId="16ED856F" w14:textId="77777777" w:rsidR="00C754DA" w:rsidRPr="0014735F" w:rsidRDefault="00C754DA" w:rsidP="00C754DA">
      <w:pPr>
        <w:ind w:right="-374"/>
        <w:jc w:val="both"/>
        <w:rPr>
          <w:rFonts w:cs="Arial"/>
          <w:i/>
          <w:szCs w:val="24"/>
          <w:lang w:val="es-CO"/>
        </w:rPr>
      </w:pPr>
      <w:r w:rsidRPr="0014735F">
        <w:rPr>
          <w:rFonts w:cs="Arial"/>
          <w:szCs w:val="24"/>
        </w:rPr>
        <w:t xml:space="preserve"> “</w:t>
      </w:r>
      <w:r w:rsidRPr="0014735F">
        <w:rPr>
          <w:rFonts w:cs="Arial"/>
          <w:i/>
          <w:szCs w:val="24"/>
          <w:lang w:val="es-CO"/>
        </w:rPr>
        <w:t>Así mismo, ha sostenido la jurisprudencia de esta Corte, que las razones constitucionales que justifican la validez de los tipos en blanco o abiertos en el derecho disciplinario, se encuentra en la necesidad de salvaguardar el principio de eficiencia de la función pública, consagrado en el artículo 209 Superior. En este sentido, esta Corporación ha reconocido que “se justifica este menor requerimiento de precisión en la definición del tipo disciplinario por el hecho que de asumir una posición estricta frente a la aplicación del principio de tipicidad en este campo llevaría simplemente a transcribir, dentro de la descripción del tipo disciplinario, las normas que consagran los deberes, mandatos y prohibiciones aplicables a los servidores públicos”</w:t>
      </w:r>
      <w:r w:rsidRPr="0014735F">
        <w:rPr>
          <w:rFonts w:cs="Arial"/>
          <w:i/>
          <w:szCs w:val="24"/>
          <w:vertAlign w:val="superscript"/>
          <w:lang w:val="es-CO"/>
        </w:rPr>
        <w:footnoteReference w:id="5"/>
      </w:r>
      <w:r w:rsidRPr="0014735F">
        <w:rPr>
          <w:rFonts w:cs="Arial"/>
          <w:i/>
          <w:szCs w:val="24"/>
          <w:lang w:val="es-CO"/>
        </w:rPr>
        <w:t xml:space="preserve">, y que “exigir una descripción detallada en la ley disciplinaria de todos los comportamientos susceptibles de sanción, conduciría en la práctica a tener que transcribir todo el catálogo de deberes, mandatos y prohibiciones que se imponen a los servidores públicos en las distintas normas jurídicas, traduciéndose dicha exigencia en un obstáculo para la realización coherente, ordenada y sistemática de la función disciplinaria y de las finalidades que mediante ella se pretenden, cuales son, </w:t>
      </w:r>
      <w:r w:rsidRPr="0014735F">
        <w:rPr>
          <w:rFonts w:cs="Arial"/>
          <w:i/>
          <w:iCs/>
          <w:szCs w:val="24"/>
          <w:lang w:val="es-CO"/>
        </w:rPr>
        <w:t>“la prevención y buena marcha de la gestión pública, así como la garantía del cumplimiento de los fines y funciones del Estado”</w:t>
      </w:r>
      <w:r w:rsidRPr="0014735F">
        <w:rPr>
          <w:rFonts w:cs="Arial"/>
          <w:i/>
          <w:szCs w:val="24"/>
          <w:vertAlign w:val="superscript"/>
          <w:lang w:val="es-CO"/>
        </w:rPr>
        <w:footnoteReference w:id="6"/>
      </w:r>
      <w:r w:rsidRPr="0014735F">
        <w:rPr>
          <w:rFonts w:cs="Arial"/>
          <w:i/>
          <w:szCs w:val="24"/>
          <w:lang w:val="es-CO"/>
        </w:rPr>
        <w:t>”</w:t>
      </w:r>
      <w:r w:rsidRPr="0014735F">
        <w:rPr>
          <w:rFonts w:cs="Arial"/>
          <w:i/>
          <w:szCs w:val="24"/>
          <w:vertAlign w:val="superscript"/>
          <w:lang w:val="es-CO"/>
        </w:rPr>
        <w:t xml:space="preserve"> </w:t>
      </w:r>
      <w:r w:rsidRPr="0014735F">
        <w:rPr>
          <w:rFonts w:cs="Arial"/>
          <w:i/>
          <w:szCs w:val="24"/>
          <w:vertAlign w:val="superscript"/>
          <w:lang w:val="es-CO"/>
        </w:rPr>
        <w:footnoteReference w:id="7"/>
      </w:r>
      <w:r w:rsidRPr="0014735F">
        <w:rPr>
          <w:rFonts w:cs="Arial"/>
          <w:i/>
          <w:szCs w:val="24"/>
          <w:lang w:val="es-CO"/>
        </w:rPr>
        <w:t xml:space="preserve"> </w:t>
      </w:r>
      <w:r w:rsidRPr="0014735F">
        <w:rPr>
          <w:rFonts w:cs="Arial"/>
          <w:b/>
          <w:bCs/>
          <w:i/>
          <w:szCs w:val="24"/>
          <w:lang w:val="es-CO"/>
        </w:rPr>
        <w:t xml:space="preserve"> </w:t>
      </w:r>
    </w:p>
    <w:p w14:paraId="3124C00D" w14:textId="77777777" w:rsidR="00C754DA" w:rsidRPr="0014735F" w:rsidRDefault="00C754DA" w:rsidP="00C754DA">
      <w:pPr>
        <w:ind w:right="-374"/>
        <w:jc w:val="both"/>
        <w:rPr>
          <w:rFonts w:cs="Arial"/>
          <w:szCs w:val="24"/>
        </w:rPr>
      </w:pPr>
    </w:p>
    <w:p w14:paraId="69E88C8F" w14:textId="77777777" w:rsidR="00C754DA" w:rsidRPr="0014735F" w:rsidRDefault="00C754DA" w:rsidP="00C754DA">
      <w:pPr>
        <w:ind w:right="-374"/>
        <w:jc w:val="both"/>
        <w:rPr>
          <w:rFonts w:cs="Arial"/>
          <w:szCs w:val="24"/>
        </w:rPr>
      </w:pPr>
      <w:r w:rsidRPr="0014735F">
        <w:rPr>
          <w:rFonts w:cs="Arial"/>
          <w:szCs w:val="24"/>
        </w:rPr>
        <w:t>No quiere decir con lo anterior que, la autoridad Disciplinaria tenga a su arbitrio la interpretación de la norma aplicar, sino que, cuenta con una interpretación restringida al caso que se estudia, concretándose de manera armónica y sistemática con la norma</w:t>
      </w:r>
    </w:p>
    <w:p w14:paraId="196541FD" w14:textId="77777777" w:rsidR="00C754DA" w:rsidRPr="0014735F" w:rsidRDefault="00C754DA" w:rsidP="00C754DA">
      <w:pPr>
        <w:ind w:right="-374"/>
        <w:jc w:val="both"/>
        <w:rPr>
          <w:rFonts w:cs="Arial"/>
          <w:szCs w:val="24"/>
        </w:rPr>
      </w:pPr>
    </w:p>
    <w:p w14:paraId="5CA139EF" w14:textId="77777777" w:rsidR="00C754DA" w:rsidRPr="0014735F" w:rsidRDefault="00C754DA" w:rsidP="00C754DA">
      <w:pPr>
        <w:ind w:right="-374"/>
        <w:jc w:val="both"/>
        <w:rPr>
          <w:rFonts w:cs="Arial"/>
          <w:i/>
          <w:szCs w:val="24"/>
          <w:lang w:val="es-CO"/>
        </w:rPr>
      </w:pPr>
      <w:r w:rsidRPr="0014735F">
        <w:rPr>
          <w:rFonts w:cs="Arial"/>
          <w:i/>
          <w:szCs w:val="24"/>
          <w:lang w:val="es-CO"/>
        </w:rPr>
        <w:t>“No obstante lo anterior, la jurisprudencia constitucional ha precisado, que los conceptos jurídicos indeterminados, lejos de permitir al operador jurídico interpretar y decidir libremente en su aplicación, se encuentran sujetos a una única solución en el asunto en concreto de que se trate, en cuanto “el mismo ordenamiento jurídico a través de los distintos métodos de interpretación, le impone al mismo dicha decisión”</w:t>
      </w:r>
      <w:r w:rsidRPr="0014735F">
        <w:rPr>
          <w:rFonts w:cs="Arial"/>
          <w:i/>
          <w:szCs w:val="24"/>
          <w:vertAlign w:val="superscript"/>
          <w:lang w:val="es-CO"/>
        </w:rPr>
        <w:t xml:space="preserve"> </w:t>
      </w:r>
      <w:r w:rsidRPr="0014735F">
        <w:rPr>
          <w:rFonts w:cs="Arial"/>
          <w:i/>
          <w:szCs w:val="24"/>
          <w:vertAlign w:val="superscript"/>
          <w:lang w:val="es-CO"/>
        </w:rPr>
        <w:footnoteReference w:id="8"/>
      </w:r>
      <w:r w:rsidRPr="0014735F">
        <w:rPr>
          <w:rFonts w:cs="Arial"/>
          <w:i/>
          <w:szCs w:val="24"/>
          <w:lang w:val="es-CO"/>
        </w:rPr>
        <w:t xml:space="preserve">, y estos conceptos a pesar de la indeterminación deben ser precisados al momento de su </w:t>
      </w:r>
      <w:r w:rsidRPr="0014735F">
        <w:rPr>
          <w:rFonts w:cs="Arial"/>
          <w:i/>
          <w:szCs w:val="24"/>
          <w:lang w:val="es-CO"/>
        </w:rPr>
        <w:lastRenderedPageBreak/>
        <w:t>aplicación de manera armónica y sistemática con el ordenamiento jurídico, las normas constitucionales y legales, y de acuerdo con las disposiciones que regulan la institución jurídica en concreto a la cual se refieren</w:t>
      </w:r>
      <w:r w:rsidRPr="0014735F">
        <w:rPr>
          <w:rFonts w:cs="Arial"/>
          <w:i/>
          <w:szCs w:val="24"/>
          <w:vertAlign w:val="superscript"/>
          <w:lang w:val="es-CO"/>
        </w:rPr>
        <w:footnoteReference w:id="9"/>
      </w:r>
      <w:r w:rsidRPr="0014735F">
        <w:rPr>
          <w:rFonts w:cs="Arial"/>
          <w:i/>
          <w:szCs w:val="24"/>
          <w:lang w:val="es-CO"/>
        </w:rPr>
        <w:t>”.</w:t>
      </w:r>
    </w:p>
    <w:p w14:paraId="30387A6A" w14:textId="77777777" w:rsidR="00C754DA" w:rsidRPr="0014735F" w:rsidRDefault="00C754DA" w:rsidP="00C754DA">
      <w:pPr>
        <w:ind w:right="-374"/>
        <w:jc w:val="both"/>
        <w:rPr>
          <w:rFonts w:cs="Arial"/>
          <w:i/>
          <w:szCs w:val="24"/>
          <w:lang w:val="es-CO"/>
        </w:rPr>
      </w:pPr>
    </w:p>
    <w:p w14:paraId="3FB04DFD" w14:textId="77777777" w:rsidR="00C754DA" w:rsidRPr="0014735F" w:rsidRDefault="00C754DA" w:rsidP="00C754DA">
      <w:pPr>
        <w:ind w:right="-374"/>
        <w:jc w:val="center"/>
        <w:rPr>
          <w:rFonts w:cs="Arial"/>
          <w:szCs w:val="24"/>
        </w:rPr>
      </w:pPr>
    </w:p>
    <w:p w14:paraId="69ACB614" w14:textId="380F0EC0" w:rsidR="00C754DA" w:rsidRPr="00BD6CEA" w:rsidRDefault="00C754DA" w:rsidP="00BD6CEA">
      <w:pPr>
        <w:pStyle w:val="Prrafodelista"/>
        <w:numPr>
          <w:ilvl w:val="0"/>
          <w:numId w:val="2"/>
        </w:numPr>
        <w:ind w:right="-374"/>
        <w:jc w:val="center"/>
        <w:rPr>
          <w:rFonts w:cs="Arial"/>
          <w:b/>
          <w:szCs w:val="24"/>
        </w:rPr>
      </w:pPr>
      <w:r w:rsidRPr="00BD6CEA">
        <w:rPr>
          <w:rFonts w:cs="Arial"/>
          <w:b/>
          <w:szCs w:val="24"/>
        </w:rPr>
        <w:t>SE RESUELVE NULIDAD</w:t>
      </w:r>
    </w:p>
    <w:p w14:paraId="21D20EEF" w14:textId="77777777" w:rsidR="00C754DA" w:rsidRPr="0014735F" w:rsidRDefault="00C754DA" w:rsidP="00C754DA">
      <w:pPr>
        <w:ind w:right="-374"/>
        <w:jc w:val="both"/>
        <w:rPr>
          <w:rFonts w:cs="Arial"/>
          <w:szCs w:val="24"/>
        </w:rPr>
      </w:pPr>
    </w:p>
    <w:p w14:paraId="1293AF5C" w14:textId="0CCCE0BC" w:rsidR="00C754DA" w:rsidRPr="0014735F" w:rsidRDefault="00C754DA" w:rsidP="00C754DA">
      <w:pPr>
        <w:ind w:right="-374"/>
        <w:jc w:val="both"/>
        <w:rPr>
          <w:rFonts w:cs="Arial"/>
          <w:szCs w:val="24"/>
        </w:rPr>
      </w:pPr>
      <w:r w:rsidRPr="0014735F">
        <w:rPr>
          <w:rFonts w:cs="Arial"/>
          <w:szCs w:val="24"/>
        </w:rPr>
        <w:t xml:space="preserve">Sea esta la oportunidad para indicarle al defensor que la descripción típica endilgada a su representado, es la descripta en el numeral </w:t>
      </w:r>
      <w:r w:rsidR="00D37E8D">
        <w:rPr>
          <w:rFonts w:cs="Arial"/>
          <w:szCs w:val="24"/>
        </w:rPr>
        <w:t xml:space="preserve">___ </w:t>
      </w:r>
      <w:r w:rsidRPr="0014735F">
        <w:rPr>
          <w:rFonts w:cs="Arial"/>
          <w:szCs w:val="24"/>
        </w:rPr>
        <w:t xml:space="preserve">del artículo </w:t>
      </w:r>
      <w:r w:rsidR="00D37E8D">
        <w:rPr>
          <w:rFonts w:cs="Arial"/>
          <w:szCs w:val="24"/>
        </w:rPr>
        <w:t xml:space="preserve">___ </w:t>
      </w:r>
      <w:r w:rsidRPr="0014735F">
        <w:rPr>
          <w:rFonts w:cs="Arial"/>
          <w:szCs w:val="24"/>
        </w:rPr>
        <w:t xml:space="preserve">de la Ley </w:t>
      </w:r>
      <w:r w:rsidR="00EE7AFE" w:rsidRPr="0014735F">
        <w:rPr>
          <w:rFonts w:cs="Arial"/>
          <w:szCs w:val="24"/>
        </w:rPr>
        <w:t xml:space="preserve">1952 </w:t>
      </w:r>
      <w:r w:rsidRPr="0014735F">
        <w:rPr>
          <w:rFonts w:cs="Arial"/>
          <w:szCs w:val="24"/>
        </w:rPr>
        <w:t>del 20</w:t>
      </w:r>
      <w:r w:rsidR="00EE7AFE" w:rsidRPr="0014735F">
        <w:rPr>
          <w:rFonts w:cs="Arial"/>
          <w:szCs w:val="24"/>
        </w:rPr>
        <w:t>19</w:t>
      </w:r>
      <w:r w:rsidRPr="0014735F">
        <w:rPr>
          <w:rFonts w:cs="Arial"/>
          <w:szCs w:val="24"/>
        </w:rPr>
        <w:t xml:space="preserve">, </w:t>
      </w:r>
    </w:p>
    <w:p w14:paraId="46BB094E" w14:textId="77777777" w:rsidR="00C754DA" w:rsidRPr="0014735F" w:rsidRDefault="00C754DA" w:rsidP="00C754DA">
      <w:pPr>
        <w:ind w:right="-374"/>
        <w:jc w:val="both"/>
        <w:rPr>
          <w:rFonts w:cs="Arial"/>
          <w:szCs w:val="24"/>
        </w:rPr>
      </w:pPr>
    </w:p>
    <w:p w14:paraId="46B95E25" w14:textId="3B3BC093" w:rsidR="00C754DA" w:rsidRPr="00BD6CEA" w:rsidRDefault="00C754DA" w:rsidP="00BD6CEA">
      <w:pPr>
        <w:pStyle w:val="Prrafodelista"/>
        <w:numPr>
          <w:ilvl w:val="0"/>
          <w:numId w:val="2"/>
        </w:numPr>
        <w:ind w:right="-374"/>
        <w:jc w:val="center"/>
        <w:rPr>
          <w:rFonts w:cs="Arial"/>
          <w:b/>
          <w:szCs w:val="24"/>
        </w:rPr>
      </w:pPr>
      <w:r w:rsidRPr="00BD6CEA">
        <w:rPr>
          <w:rFonts w:cs="Arial"/>
          <w:b/>
          <w:szCs w:val="24"/>
        </w:rPr>
        <w:t>SOLICITUD PROBATORIA EN ETAPA DE DESCARGOS</w:t>
      </w:r>
    </w:p>
    <w:p w14:paraId="505D89A2" w14:textId="77777777" w:rsidR="00C754DA" w:rsidRPr="0014735F" w:rsidRDefault="00C754DA" w:rsidP="00C754DA">
      <w:pPr>
        <w:ind w:right="-374"/>
        <w:jc w:val="both"/>
        <w:rPr>
          <w:rFonts w:cs="Arial"/>
          <w:szCs w:val="24"/>
        </w:rPr>
      </w:pPr>
    </w:p>
    <w:p w14:paraId="2F75DDAD" w14:textId="78E00470" w:rsidR="00C754DA" w:rsidRPr="0014735F" w:rsidRDefault="00C754DA" w:rsidP="00C754DA">
      <w:pPr>
        <w:ind w:right="-374"/>
        <w:jc w:val="both"/>
        <w:rPr>
          <w:rFonts w:cs="Arial"/>
          <w:szCs w:val="24"/>
        </w:rPr>
      </w:pPr>
      <w:r w:rsidRPr="0014735F">
        <w:rPr>
          <w:rFonts w:cs="Arial"/>
          <w:szCs w:val="24"/>
        </w:rPr>
        <w:t xml:space="preserve">Sea esta la oportunidad para indicarle al defensor de oficio como la demostración de los hechos objeto de </w:t>
      </w:r>
      <w:r w:rsidR="00EE7AFE" w:rsidRPr="0014735F">
        <w:rPr>
          <w:rFonts w:cs="Arial"/>
          <w:szCs w:val="24"/>
        </w:rPr>
        <w:t>investigación</w:t>
      </w:r>
      <w:r w:rsidRPr="0014735F">
        <w:rPr>
          <w:rFonts w:cs="Arial"/>
          <w:szCs w:val="24"/>
        </w:rPr>
        <w:t xml:space="preserve"> debe partir de un análisis ponderado de las pruebas, centrando su estudio en la pertinencia, conducencia y necesidad, por cuanto son  indudablemente el  fundamento de la decisión que se tome, lo anterior en virtud a las garantías constitucionales que tiene los investigados como lo es su derecho </w:t>
      </w:r>
      <w:proofErr w:type="spellStart"/>
      <w:r w:rsidRPr="0014735F">
        <w:rPr>
          <w:rFonts w:cs="Arial"/>
          <w:szCs w:val="24"/>
        </w:rPr>
        <w:t>supralegal</w:t>
      </w:r>
      <w:proofErr w:type="spellEnd"/>
      <w:r w:rsidRPr="0014735F">
        <w:rPr>
          <w:rFonts w:cs="Arial"/>
          <w:szCs w:val="24"/>
        </w:rPr>
        <w:t xml:space="preserve"> al debido proceso, como también, el respeto de </w:t>
      </w:r>
      <w:r w:rsidRPr="0014735F">
        <w:rPr>
          <w:rFonts w:cs="Arial"/>
          <w:szCs w:val="24"/>
          <w:lang w:val="es-ES"/>
        </w:rPr>
        <w:t>las formas propias del juicio.</w:t>
      </w:r>
    </w:p>
    <w:p w14:paraId="57C5F6CF" w14:textId="77777777" w:rsidR="00C754DA" w:rsidRPr="0014735F" w:rsidRDefault="00C754DA" w:rsidP="00C754DA">
      <w:pPr>
        <w:ind w:right="-374"/>
        <w:jc w:val="both"/>
        <w:rPr>
          <w:rFonts w:cs="Arial"/>
          <w:szCs w:val="24"/>
          <w:lang w:val="es-ES"/>
        </w:rPr>
      </w:pPr>
    </w:p>
    <w:p w14:paraId="609A4F8B" w14:textId="77777777" w:rsidR="00C754DA" w:rsidRPr="0014735F" w:rsidRDefault="00C754DA" w:rsidP="00C754DA">
      <w:pPr>
        <w:ind w:right="-374"/>
        <w:jc w:val="both"/>
        <w:rPr>
          <w:rFonts w:eastAsia="Calibri" w:cs="Arial"/>
          <w:szCs w:val="24"/>
          <w:lang w:val="es-CO"/>
        </w:rPr>
      </w:pPr>
      <w:r w:rsidRPr="0014735F">
        <w:rPr>
          <w:rFonts w:cs="Arial"/>
          <w:szCs w:val="24"/>
          <w:lang w:val="es-ES"/>
        </w:rPr>
        <w:t xml:space="preserve">Asimismo, es importante acotar que la finalidad de la Prueba es la justicia, toda vez que busca inexorablemente </w:t>
      </w:r>
      <w:r w:rsidRPr="0014735F">
        <w:rPr>
          <w:rFonts w:eastAsia="Calibri" w:cs="Arial"/>
          <w:szCs w:val="24"/>
          <w:lang w:val="es-CO"/>
        </w:rPr>
        <w:t>la verdad material, la efectividad del derecho sustantivo y el cumplimiento de los derechos y garantías debidos a las personas que intervienen en él.</w:t>
      </w:r>
    </w:p>
    <w:p w14:paraId="1AEA7A5D" w14:textId="77777777" w:rsidR="00C754DA" w:rsidRPr="0014735F" w:rsidRDefault="00C754DA" w:rsidP="00C754DA">
      <w:pPr>
        <w:ind w:right="-374"/>
        <w:jc w:val="both"/>
        <w:rPr>
          <w:rFonts w:cs="Arial"/>
          <w:szCs w:val="24"/>
          <w:lang w:val="es-ES"/>
        </w:rPr>
      </w:pPr>
    </w:p>
    <w:p w14:paraId="306506B8" w14:textId="77777777" w:rsidR="00C754DA" w:rsidRPr="0014735F" w:rsidRDefault="00C754DA" w:rsidP="00C754DA">
      <w:pPr>
        <w:ind w:right="-374"/>
        <w:jc w:val="both"/>
        <w:rPr>
          <w:rFonts w:cs="Arial"/>
          <w:szCs w:val="24"/>
          <w:lang w:val="es-ES"/>
        </w:rPr>
      </w:pPr>
      <w:r w:rsidRPr="0014735F">
        <w:rPr>
          <w:rFonts w:cs="Arial"/>
          <w:szCs w:val="24"/>
          <w:lang w:val="es-ES"/>
        </w:rPr>
        <w:t xml:space="preserve">El artículo 147 de la Ley 1952 de 2019 establece: </w:t>
      </w:r>
    </w:p>
    <w:p w14:paraId="2EBF9EE1" w14:textId="77777777" w:rsidR="00C754DA" w:rsidRPr="0014735F" w:rsidRDefault="00C754DA" w:rsidP="00C754DA">
      <w:pPr>
        <w:ind w:right="-374"/>
        <w:jc w:val="both"/>
        <w:rPr>
          <w:rFonts w:cs="Arial"/>
          <w:szCs w:val="24"/>
          <w:lang w:val="es-ES"/>
        </w:rPr>
      </w:pPr>
    </w:p>
    <w:p w14:paraId="083EF602" w14:textId="77777777" w:rsidR="00C754DA" w:rsidRPr="0014735F" w:rsidRDefault="00C754DA" w:rsidP="00C754DA">
      <w:pPr>
        <w:ind w:left="567" w:right="-374"/>
        <w:jc w:val="both"/>
        <w:rPr>
          <w:rFonts w:cs="Arial"/>
          <w:szCs w:val="24"/>
          <w:lang w:val="es-ES"/>
        </w:rPr>
      </w:pPr>
      <w:r w:rsidRPr="0014735F">
        <w:rPr>
          <w:rFonts w:cs="Arial"/>
          <w:szCs w:val="24"/>
          <w:lang w:val="es-ES"/>
        </w:rPr>
        <w:t xml:space="preserve">“Toda decisión interlocutoria y el fallo disciplinario deben fundarse en pruebas legalmente producidas y aportadas al proceso por petición de cualquier sujeto procesal o en forma oficiosa. </w:t>
      </w:r>
      <w:r w:rsidRPr="0014735F">
        <w:rPr>
          <w:rFonts w:cs="Arial"/>
          <w:b/>
          <w:szCs w:val="24"/>
          <w:u w:val="single"/>
          <w:lang w:val="es-ES"/>
        </w:rPr>
        <w:t>La carga de la prueba corresponde al Estado</w:t>
      </w:r>
      <w:r w:rsidRPr="0014735F">
        <w:rPr>
          <w:rFonts w:cs="Arial"/>
          <w:szCs w:val="24"/>
          <w:lang w:val="es-ES"/>
        </w:rPr>
        <w:t>.”</w:t>
      </w:r>
    </w:p>
    <w:p w14:paraId="72705D27" w14:textId="77777777" w:rsidR="00C754DA" w:rsidRPr="0014735F" w:rsidRDefault="00C754DA" w:rsidP="00C754DA">
      <w:pPr>
        <w:ind w:left="567" w:right="-374"/>
        <w:jc w:val="both"/>
        <w:rPr>
          <w:rFonts w:cs="Arial"/>
          <w:szCs w:val="24"/>
          <w:lang w:val="es-ES"/>
        </w:rPr>
      </w:pPr>
    </w:p>
    <w:p w14:paraId="5BB2845F" w14:textId="02F1A292" w:rsidR="00C754DA" w:rsidRPr="0014735F" w:rsidRDefault="00C754DA" w:rsidP="00C754DA">
      <w:pPr>
        <w:ind w:right="-374"/>
        <w:jc w:val="both"/>
        <w:rPr>
          <w:rFonts w:cs="Arial"/>
          <w:szCs w:val="24"/>
          <w:lang w:val="es-ES"/>
        </w:rPr>
      </w:pPr>
      <w:r w:rsidRPr="0014735F">
        <w:rPr>
          <w:rFonts w:cs="Arial"/>
          <w:szCs w:val="24"/>
          <w:lang w:val="es-ES"/>
        </w:rPr>
        <w:t xml:space="preserve">Debe precisarse desde ya que la prueba entendida desde una óptica dinámica tiene como intención la verificación de un hecho dentro del proceso que pueda llevar al convencimiento al juez natural que conoce el sumario, </w:t>
      </w:r>
      <w:r w:rsidR="00711965" w:rsidRPr="0014735F">
        <w:rPr>
          <w:rFonts w:cs="Arial"/>
          <w:szCs w:val="24"/>
          <w:lang w:val="es-ES"/>
        </w:rPr>
        <w:t>además</w:t>
      </w:r>
      <w:r w:rsidRPr="0014735F">
        <w:rPr>
          <w:rFonts w:cs="Arial"/>
          <w:szCs w:val="24"/>
          <w:lang w:val="es-ES"/>
        </w:rPr>
        <w:t xml:space="preserve"> de ello que pueda desvirtuar el tema principal del proceso. </w:t>
      </w:r>
    </w:p>
    <w:p w14:paraId="6A8D1D3B" w14:textId="77777777" w:rsidR="00C754DA" w:rsidRPr="0014735F" w:rsidRDefault="00C754DA" w:rsidP="00C754DA">
      <w:pPr>
        <w:ind w:right="-374"/>
        <w:jc w:val="both"/>
        <w:rPr>
          <w:rFonts w:cs="Arial"/>
          <w:szCs w:val="24"/>
          <w:lang w:val="es-ES"/>
        </w:rPr>
      </w:pPr>
    </w:p>
    <w:p w14:paraId="42A74FC7" w14:textId="0A5BA60C" w:rsidR="00C754DA" w:rsidRPr="0014735F" w:rsidRDefault="00C754DA" w:rsidP="00C754DA">
      <w:pPr>
        <w:ind w:right="-374"/>
        <w:jc w:val="both"/>
        <w:rPr>
          <w:rFonts w:cs="Arial"/>
          <w:szCs w:val="24"/>
          <w:lang w:val="es-ES"/>
        </w:rPr>
      </w:pPr>
      <w:r w:rsidRPr="0014735F">
        <w:rPr>
          <w:rFonts w:cs="Arial"/>
          <w:szCs w:val="24"/>
          <w:lang w:val="es-ES"/>
        </w:rPr>
        <w:t xml:space="preserve">Por ello cada solicitud debe ser precisa en el tema que se va probar, es decir </w:t>
      </w:r>
      <w:proofErr w:type="spellStart"/>
      <w:r w:rsidRPr="0014735F">
        <w:rPr>
          <w:rFonts w:cs="Arial"/>
          <w:szCs w:val="24"/>
          <w:lang w:val="es-ES"/>
        </w:rPr>
        <w:t>lo</w:t>
      </w:r>
      <w:proofErr w:type="spellEnd"/>
      <w:r w:rsidRPr="0014735F">
        <w:rPr>
          <w:rFonts w:cs="Arial"/>
          <w:szCs w:val="24"/>
          <w:lang w:val="es-ES"/>
        </w:rPr>
        <w:t xml:space="preserve"> hechos facticos que encaja en las hipótesis que se traducen en infracciones de deberes o no, </w:t>
      </w:r>
      <w:r w:rsidRPr="0014735F">
        <w:rPr>
          <w:rFonts w:cs="Arial"/>
          <w:szCs w:val="24"/>
          <w:lang w:val="es-ES"/>
        </w:rPr>
        <w:lastRenderedPageBreak/>
        <w:t xml:space="preserve">solicitud que debe ir </w:t>
      </w:r>
      <w:r w:rsidR="00711965" w:rsidRPr="0014735F">
        <w:rPr>
          <w:rFonts w:cs="Arial"/>
          <w:szCs w:val="24"/>
          <w:lang w:val="es-ES"/>
        </w:rPr>
        <w:t>además</w:t>
      </w:r>
      <w:r w:rsidRPr="0014735F">
        <w:rPr>
          <w:rFonts w:cs="Arial"/>
          <w:szCs w:val="24"/>
          <w:lang w:val="es-ES"/>
        </w:rPr>
        <w:t xml:space="preserve"> definida conforme al tema materia del proceso disciplinario que se estudia, de no ser </w:t>
      </w:r>
      <w:r w:rsidR="00711965" w:rsidRPr="0014735F">
        <w:rPr>
          <w:rFonts w:cs="Arial"/>
          <w:szCs w:val="24"/>
          <w:lang w:val="es-ES"/>
        </w:rPr>
        <w:t>así</w:t>
      </w:r>
      <w:r w:rsidRPr="0014735F">
        <w:rPr>
          <w:rFonts w:cs="Arial"/>
          <w:szCs w:val="24"/>
          <w:lang w:val="es-ES"/>
        </w:rPr>
        <w:t xml:space="preserve"> se entornarían impertinentes e innecesarias.</w:t>
      </w:r>
    </w:p>
    <w:p w14:paraId="27AC5BFD" w14:textId="77777777" w:rsidR="00C754DA" w:rsidRPr="0014735F" w:rsidRDefault="00C754DA" w:rsidP="00C754DA">
      <w:pPr>
        <w:ind w:right="-374"/>
        <w:jc w:val="both"/>
        <w:rPr>
          <w:rFonts w:cs="Arial"/>
          <w:szCs w:val="24"/>
          <w:lang w:val="es-ES"/>
        </w:rPr>
      </w:pPr>
    </w:p>
    <w:p w14:paraId="1822056A" w14:textId="77777777" w:rsidR="00C754DA" w:rsidRPr="0014735F" w:rsidRDefault="00C754DA" w:rsidP="00C754DA">
      <w:pPr>
        <w:ind w:right="-374"/>
        <w:jc w:val="both"/>
        <w:rPr>
          <w:rFonts w:cs="Arial"/>
          <w:szCs w:val="24"/>
          <w:lang w:val="es-CO"/>
        </w:rPr>
      </w:pPr>
      <w:r w:rsidRPr="0014735F">
        <w:rPr>
          <w:rFonts w:cs="Arial"/>
          <w:szCs w:val="24"/>
          <w:lang w:val="es-CO"/>
        </w:rPr>
        <w:t>Argumenta su solicitud de pruebas en las siguientes manifestaciones fácticas;</w:t>
      </w:r>
    </w:p>
    <w:p w14:paraId="6C366C14" w14:textId="77777777" w:rsidR="00C754DA" w:rsidRPr="0014735F" w:rsidRDefault="00C754DA" w:rsidP="00C754DA">
      <w:pPr>
        <w:ind w:right="-374"/>
        <w:jc w:val="both"/>
        <w:rPr>
          <w:rFonts w:cs="Arial"/>
          <w:i/>
          <w:szCs w:val="24"/>
          <w:lang w:val="es-CO"/>
        </w:rPr>
      </w:pPr>
    </w:p>
    <w:p w14:paraId="073EFCBD" w14:textId="45172DFB" w:rsidR="00C754DA" w:rsidRPr="0014735F" w:rsidRDefault="00C754DA" w:rsidP="00EE7AFE">
      <w:pPr>
        <w:ind w:right="-374"/>
        <w:jc w:val="both"/>
        <w:rPr>
          <w:rFonts w:cs="Arial"/>
          <w:i/>
          <w:szCs w:val="24"/>
          <w:lang w:val="es-CO"/>
        </w:rPr>
      </w:pPr>
      <w:r w:rsidRPr="0014735F">
        <w:rPr>
          <w:rFonts w:cs="Arial"/>
          <w:i/>
          <w:szCs w:val="24"/>
          <w:lang w:val="es-CO"/>
        </w:rPr>
        <w:t xml:space="preserve">“1. Incongruencia fáctica: </w:t>
      </w:r>
    </w:p>
    <w:p w14:paraId="16728B05" w14:textId="77777777" w:rsidR="00C754DA" w:rsidRPr="0014735F" w:rsidRDefault="00C754DA" w:rsidP="00C754DA">
      <w:pPr>
        <w:ind w:right="-374"/>
        <w:jc w:val="both"/>
        <w:rPr>
          <w:rFonts w:cs="Arial"/>
          <w:i/>
          <w:szCs w:val="24"/>
          <w:lang w:val="es-CO"/>
        </w:rPr>
      </w:pPr>
    </w:p>
    <w:p w14:paraId="56A8D5BE" w14:textId="77777777" w:rsidR="00C754DA" w:rsidRPr="0014735F" w:rsidRDefault="00C754DA" w:rsidP="00C754DA">
      <w:pPr>
        <w:ind w:right="-374"/>
        <w:jc w:val="both"/>
        <w:rPr>
          <w:rFonts w:cs="Arial"/>
          <w:szCs w:val="24"/>
          <w:lang w:val="es-CO"/>
        </w:rPr>
      </w:pPr>
    </w:p>
    <w:p w14:paraId="261CAB06" w14:textId="41339DA5" w:rsidR="00C754DA" w:rsidRPr="0014735F" w:rsidRDefault="00C754DA" w:rsidP="00C754DA">
      <w:pPr>
        <w:ind w:right="-374"/>
        <w:jc w:val="both"/>
        <w:rPr>
          <w:rFonts w:cs="Arial"/>
          <w:szCs w:val="24"/>
          <w:lang w:val="es-ES"/>
        </w:rPr>
      </w:pPr>
      <w:r w:rsidRPr="0014735F">
        <w:rPr>
          <w:rFonts w:cs="Arial"/>
          <w:szCs w:val="24"/>
          <w:lang w:val="es-ES"/>
        </w:rPr>
        <w:t xml:space="preserve">En mérito de lo anteriormente expuesto, el suscrito </w:t>
      </w:r>
      <w:r w:rsidR="00330DC5">
        <w:rPr>
          <w:rFonts w:eastAsia="Calibri" w:cs="Arial"/>
          <w:szCs w:val="24"/>
          <w:lang w:val="es-CO"/>
        </w:rPr>
        <w:t>Profesional universitario 219-02 con funciones de instrucción</w:t>
      </w:r>
      <w:r w:rsidR="00330DC5" w:rsidRPr="0014735F">
        <w:rPr>
          <w:rFonts w:cs="Arial"/>
          <w:szCs w:val="24"/>
          <w:lang w:val="es-ES"/>
        </w:rPr>
        <w:t xml:space="preserve"> </w:t>
      </w:r>
      <w:r w:rsidR="00330DC5">
        <w:rPr>
          <w:rFonts w:cs="Arial"/>
          <w:szCs w:val="24"/>
          <w:lang w:val="es-ES"/>
        </w:rPr>
        <w:t>/</w:t>
      </w:r>
      <w:r w:rsidR="00A00DF9" w:rsidRPr="0014735F">
        <w:rPr>
          <w:rFonts w:cs="Arial"/>
          <w:szCs w:val="24"/>
          <w:lang w:val="es-ES"/>
        </w:rPr>
        <w:t xml:space="preserve">Jefe </w:t>
      </w:r>
      <w:r w:rsidRPr="0014735F">
        <w:rPr>
          <w:rFonts w:cs="Arial"/>
          <w:szCs w:val="24"/>
          <w:lang w:val="es-ES"/>
        </w:rPr>
        <w:t>de la Oficina</w:t>
      </w:r>
      <w:r w:rsidR="00D37E8D">
        <w:rPr>
          <w:rFonts w:cs="Arial"/>
          <w:szCs w:val="24"/>
          <w:lang w:val="es-ES"/>
        </w:rPr>
        <w:t xml:space="preserve"> de Control</w:t>
      </w:r>
      <w:r w:rsidRPr="0014735F">
        <w:rPr>
          <w:rFonts w:cs="Arial"/>
          <w:szCs w:val="24"/>
          <w:lang w:val="es-ES"/>
        </w:rPr>
        <w:t xml:space="preserve"> Disciplinario de </w:t>
      </w:r>
      <w:r w:rsidR="00A00DF9" w:rsidRPr="0014735F">
        <w:rPr>
          <w:rFonts w:cs="Arial"/>
          <w:szCs w:val="24"/>
          <w:lang w:val="es-ES"/>
        </w:rPr>
        <w:t>INFIBAGUÉ</w:t>
      </w:r>
      <w:r w:rsidRPr="0014735F">
        <w:rPr>
          <w:rFonts w:cs="Arial"/>
          <w:szCs w:val="24"/>
          <w:lang w:val="es-ES"/>
        </w:rPr>
        <w:t>,</w:t>
      </w:r>
    </w:p>
    <w:p w14:paraId="7BF69027" w14:textId="77777777" w:rsidR="00330DC5" w:rsidRDefault="00330DC5" w:rsidP="00C754DA">
      <w:pPr>
        <w:ind w:right="-374"/>
        <w:jc w:val="center"/>
        <w:rPr>
          <w:rFonts w:cs="Arial"/>
          <w:b/>
          <w:szCs w:val="24"/>
          <w:lang w:val="es-ES"/>
        </w:rPr>
      </w:pPr>
    </w:p>
    <w:p w14:paraId="173B6EFE" w14:textId="64B12C1F" w:rsidR="00C754DA" w:rsidRPr="0014735F" w:rsidRDefault="00C754DA" w:rsidP="00C754DA">
      <w:pPr>
        <w:ind w:right="-374"/>
        <w:jc w:val="center"/>
        <w:rPr>
          <w:rFonts w:cs="Arial"/>
          <w:b/>
          <w:szCs w:val="24"/>
          <w:lang w:val="es-ES"/>
        </w:rPr>
      </w:pPr>
      <w:r w:rsidRPr="0014735F">
        <w:rPr>
          <w:rFonts w:cs="Arial"/>
          <w:b/>
          <w:szCs w:val="24"/>
          <w:lang w:val="es-ES"/>
        </w:rPr>
        <w:t>RESUELVE:</w:t>
      </w:r>
    </w:p>
    <w:p w14:paraId="5E1DCB95" w14:textId="77777777" w:rsidR="00C754DA" w:rsidRPr="0014735F" w:rsidRDefault="00C754DA" w:rsidP="00C754DA">
      <w:pPr>
        <w:ind w:right="-374"/>
        <w:jc w:val="center"/>
        <w:rPr>
          <w:rFonts w:cs="Arial"/>
          <w:b/>
          <w:szCs w:val="24"/>
          <w:lang w:val="es-ES"/>
        </w:rPr>
      </w:pPr>
    </w:p>
    <w:p w14:paraId="3817EDA5" w14:textId="77777777" w:rsidR="00C754DA" w:rsidRPr="0014735F" w:rsidRDefault="00C754DA" w:rsidP="00C754DA">
      <w:pPr>
        <w:ind w:right="-374"/>
        <w:jc w:val="both"/>
        <w:rPr>
          <w:rFonts w:cs="Arial"/>
          <w:b/>
          <w:szCs w:val="24"/>
        </w:rPr>
      </w:pPr>
    </w:p>
    <w:p w14:paraId="0904969B" w14:textId="0A9341B9" w:rsidR="00C754DA" w:rsidRPr="0014735F" w:rsidRDefault="00C754DA" w:rsidP="00C754DA">
      <w:pPr>
        <w:ind w:right="-374"/>
        <w:jc w:val="both"/>
        <w:rPr>
          <w:rFonts w:cs="Arial"/>
          <w:szCs w:val="24"/>
        </w:rPr>
      </w:pPr>
      <w:r w:rsidRPr="0014735F">
        <w:rPr>
          <w:rFonts w:cs="Arial"/>
          <w:b/>
          <w:szCs w:val="24"/>
        </w:rPr>
        <w:t xml:space="preserve">PRIMERO: </w:t>
      </w:r>
      <w:r w:rsidR="00D37E8D" w:rsidRPr="00D37E8D">
        <w:rPr>
          <w:rFonts w:cs="Arial"/>
          <w:szCs w:val="24"/>
        </w:rPr>
        <w:t>____________</w:t>
      </w:r>
      <w:r w:rsidRPr="00D37E8D">
        <w:rPr>
          <w:rFonts w:cs="Arial"/>
          <w:szCs w:val="24"/>
        </w:rPr>
        <w:t>,</w:t>
      </w:r>
      <w:r w:rsidR="00711965" w:rsidRPr="0014735F">
        <w:rPr>
          <w:rFonts w:cs="Arial"/>
          <w:b/>
          <w:szCs w:val="24"/>
        </w:rPr>
        <w:t xml:space="preserve"> </w:t>
      </w:r>
      <w:r w:rsidRPr="0014735F">
        <w:rPr>
          <w:rFonts w:cs="Arial"/>
          <w:szCs w:val="24"/>
        </w:rPr>
        <w:t>la nulidad solicitada por el</w:t>
      </w:r>
      <w:r w:rsidR="00D37E8D" w:rsidRPr="00D37E8D">
        <w:rPr>
          <w:rFonts w:cs="Arial"/>
          <w:szCs w:val="24"/>
        </w:rPr>
        <w:t>____________</w:t>
      </w:r>
      <w:r w:rsidRPr="0014735F">
        <w:rPr>
          <w:rFonts w:cs="Arial"/>
          <w:szCs w:val="24"/>
        </w:rPr>
        <w:t xml:space="preserve">, según se expone en la parte considerativa de esta decisión. Contra la presente decisión procede el Recurso de reposición el cual deberá interponer ante este despacho dentro de los 5 días hábiles posterior a su notificación. </w:t>
      </w:r>
    </w:p>
    <w:p w14:paraId="10126C9D" w14:textId="77777777" w:rsidR="00C754DA" w:rsidRPr="0014735F" w:rsidRDefault="00C754DA" w:rsidP="00C754DA">
      <w:pPr>
        <w:ind w:right="-374"/>
        <w:jc w:val="both"/>
        <w:rPr>
          <w:rFonts w:cs="Arial"/>
          <w:b/>
          <w:szCs w:val="24"/>
        </w:rPr>
      </w:pPr>
    </w:p>
    <w:p w14:paraId="2DDD6E45" w14:textId="078A1E14" w:rsidR="00C754DA" w:rsidRPr="0014735F" w:rsidRDefault="00C754DA" w:rsidP="00C754DA">
      <w:pPr>
        <w:ind w:right="-374"/>
        <w:jc w:val="both"/>
        <w:rPr>
          <w:rFonts w:cs="Arial"/>
          <w:szCs w:val="24"/>
        </w:rPr>
      </w:pPr>
      <w:r w:rsidRPr="0014735F">
        <w:rPr>
          <w:rFonts w:cs="Arial"/>
          <w:b/>
          <w:szCs w:val="24"/>
        </w:rPr>
        <w:t>SEGUNDO: DECRETAR</w:t>
      </w:r>
      <w:r w:rsidRPr="0014735F">
        <w:rPr>
          <w:rFonts w:cs="Arial"/>
          <w:szCs w:val="24"/>
        </w:rPr>
        <w:t xml:space="preserve"> como pruebas dentr</w:t>
      </w:r>
      <w:r w:rsidR="00D37E8D">
        <w:rPr>
          <w:rFonts w:cs="Arial"/>
          <w:szCs w:val="24"/>
        </w:rPr>
        <w:t>o del Proceso Disciplinario No._______</w:t>
      </w:r>
      <w:r w:rsidRPr="0014735F">
        <w:rPr>
          <w:rFonts w:cs="Arial"/>
          <w:color w:val="808080"/>
          <w:szCs w:val="24"/>
        </w:rPr>
        <w:t xml:space="preserve"> </w:t>
      </w:r>
      <w:r w:rsidRPr="0014735F">
        <w:rPr>
          <w:rFonts w:cs="Arial"/>
          <w:szCs w:val="24"/>
        </w:rPr>
        <w:t>de conformidad con la parte motiva, la siguiente;</w:t>
      </w:r>
    </w:p>
    <w:p w14:paraId="22DC1F7D" w14:textId="77777777" w:rsidR="00C754DA" w:rsidRPr="0014735F" w:rsidRDefault="00C754DA" w:rsidP="00C754DA">
      <w:pPr>
        <w:ind w:right="-374"/>
        <w:jc w:val="both"/>
        <w:rPr>
          <w:rFonts w:cs="Arial"/>
          <w:b/>
          <w:szCs w:val="24"/>
        </w:rPr>
      </w:pPr>
    </w:p>
    <w:p w14:paraId="71B0D0C1" w14:textId="547F9EFB" w:rsidR="00C754DA" w:rsidRPr="0014735F" w:rsidRDefault="00C754DA" w:rsidP="00C754DA">
      <w:pPr>
        <w:numPr>
          <w:ilvl w:val="0"/>
          <w:numId w:val="3"/>
        </w:numPr>
        <w:overflowPunct/>
        <w:autoSpaceDE/>
        <w:autoSpaceDN/>
        <w:adjustRightInd/>
        <w:ind w:right="-374"/>
        <w:contextualSpacing/>
        <w:jc w:val="both"/>
        <w:textAlignment w:val="auto"/>
        <w:rPr>
          <w:rFonts w:cs="Arial"/>
          <w:szCs w:val="24"/>
        </w:rPr>
      </w:pPr>
      <w:r w:rsidRPr="0014735F">
        <w:rPr>
          <w:rFonts w:cs="Arial"/>
          <w:iCs/>
          <w:szCs w:val="24"/>
          <w:lang w:val="es-CO"/>
        </w:rPr>
        <w:t>Diligencia de Declaración Juramentada del señor</w:t>
      </w:r>
      <w:r w:rsidRPr="0014735F">
        <w:rPr>
          <w:rFonts w:cs="Arial"/>
          <w:b/>
          <w:iCs/>
          <w:szCs w:val="24"/>
          <w:lang w:val="es-CO"/>
        </w:rPr>
        <w:t xml:space="preserve"> </w:t>
      </w:r>
      <w:r w:rsidR="00D37E8D" w:rsidRPr="00D37E8D">
        <w:rPr>
          <w:rFonts w:cs="Arial"/>
          <w:szCs w:val="24"/>
        </w:rPr>
        <w:t>___________</w:t>
      </w:r>
      <w:r w:rsidR="00D37E8D">
        <w:rPr>
          <w:rFonts w:cs="Arial"/>
          <w:szCs w:val="24"/>
        </w:rPr>
        <w:t xml:space="preserve">____, </w:t>
      </w:r>
      <w:r w:rsidRPr="0014735F">
        <w:rPr>
          <w:rFonts w:cs="Arial"/>
          <w:iCs/>
          <w:szCs w:val="24"/>
          <w:lang w:val="es-CO"/>
        </w:rPr>
        <w:t>en calidad de Quejoso dentro de la presente actuación Disciplinaria.</w:t>
      </w:r>
    </w:p>
    <w:p w14:paraId="27456DDB" w14:textId="77777777" w:rsidR="00C754DA" w:rsidRPr="0014735F" w:rsidRDefault="00C754DA" w:rsidP="00C754DA">
      <w:pPr>
        <w:ind w:right="-374"/>
        <w:jc w:val="both"/>
        <w:rPr>
          <w:rFonts w:cs="Arial"/>
          <w:szCs w:val="24"/>
        </w:rPr>
      </w:pPr>
    </w:p>
    <w:p w14:paraId="2D943A35" w14:textId="77777777" w:rsidR="00C754DA" w:rsidRPr="0014735F" w:rsidRDefault="00C754DA" w:rsidP="00C754DA">
      <w:pPr>
        <w:ind w:right="-374"/>
        <w:jc w:val="both"/>
        <w:rPr>
          <w:rFonts w:cs="Arial"/>
          <w:szCs w:val="24"/>
        </w:rPr>
      </w:pPr>
      <w:r w:rsidRPr="0014735F">
        <w:rPr>
          <w:rFonts w:cs="Arial"/>
          <w:b/>
          <w:szCs w:val="24"/>
        </w:rPr>
        <w:t>Parágrafo Único: NOTIFICAR</w:t>
      </w:r>
      <w:r w:rsidRPr="0014735F">
        <w:rPr>
          <w:rFonts w:cs="Arial"/>
          <w:szCs w:val="24"/>
        </w:rPr>
        <w:t xml:space="preserve"> la presente decisión a los sujetos procesales, en los términos del artículo 122 CGP, adjuntando copia de la misma, advirtiendo que contra la decisión que decreto la prueba solicitada no procede recurso alguno. </w:t>
      </w:r>
    </w:p>
    <w:p w14:paraId="2A89E051" w14:textId="77777777" w:rsidR="00C754DA" w:rsidRPr="0014735F" w:rsidRDefault="00C754DA" w:rsidP="00C754DA">
      <w:pPr>
        <w:ind w:right="-374"/>
        <w:jc w:val="both"/>
        <w:rPr>
          <w:rFonts w:cs="Arial"/>
          <w:b/>
          <w:szCs w:val="24"/>
        </w:rPr>
      </w:pPr>
    </w:p>
    <w:p w14:paraId="066F4DD5" w14:textId="508C1F6F" w:rsidR="00C754DA" w:rsidRPr="0014735F" w:rsidRDefault="00C754DA" w:rsidP="00C754DA">
      <w:pPr>
        <w:ind w:right="-374"/>
        <w:jc w:val="both"/>
        <w:rPr>
          <w:rFonts w:eastAsia="Cambria" w:cs="Arial"/>
          <w:iCs/>
          <w:szCs w:val="24"/>
          <w:lang w:val="es-CO"/>
        </w:rPr>
      </w:pPr>
      <w:r w:rsidRPr="0014735F">
        <w:rPr>
          <w:rFonts w:cs="Arial"/>
          <w:b/>
          <w:szCs w:val="24"/>
        </w:rPr>
        <w:t xml:space="preserve">TERCERO: </w:t>
      </w:r>
      <w:r w:rsidRPr="0014735F">
        <w:rPr>
          <w:rFonts w:cs="Arial"/>
          <w:szCs w:val="24"/>
        </w:rPr>
        <w:t>Comisionar al profesional</w:t>
      </w:r>
      <w:r w:rsidR="00D37E8D" w:rsidRPr="00D37E8D">
        <w:rPr>
          <w:rFonts w:cs="Arial"/>
          <w:szCs w:val="24"/>
        </w:rPr>
        <w:t>____________</w:t>
      </w:r>
      <w:r w:rsidR="00D37E8D">
        <w:rPr>
          <w:rFonts w:cs="Arial"/>
          <w:szCs w:val="24"/>
        </w:rPr>
        <w:t>____</w:t>
      </w:r>
      <w:r w:rsidRPr="0014735F">
        <w:rPr>
          <w:rFonts w:cs="Arial"/>
          <w:szCs w:val="24"/>
        </w:rPr>
        <w:t xml:space="preserve">, para que en la presente actuación disciplinaria practique la diligencia decretada, por el termino de 90 días hábiles, devolviendo el expediente con el proyecto que haya lugar. </w:t>
      </w:r>
    </w:p>
    <w:p w14:paraId="7709A603" w14:textId="77777777" w:rsidR="00C754DA" w:rsidRPr="0014735F" w:rsidRDefault="00C754DA" w:rsidP="00C754DA">
      <w:pPr>
        <w:ind w:right="-374"/>
        <w:jc w:val="both"/>
        <w:rPr>
          <w:rFonts w:cs="Arial"/>
          <w:szCs w:val="24"/>
        </w:rPr>
      </w:pPr>
    </w:p>
    <w:p w14:paraId="5EDAA43B" w14:textId="00F1B35E" w:rsidR="00C754DA" w:rsidRPr="0014735F" w:rsidRDefault="00552CFC" w:rsidP="00C754DA">
      <w:pPr>
        <w:ind w:right="-374"/>
        <w:jc w:val="center"/>
        <w:rPr>
          <w:rFonts w:cs="Arial"/>
          <w:b/>
          <w:szCs w:val="24"/>
        </w:rPr>
      </w:pPr>
      <w:r w:rsidRPr="0014735F">
        <w:rPr>
          <w:rFonts w:cs="Arial"/>
          <w:b/>
          <w:szCs w:val="24"/>
        </w:rPr>
        <w:t>COMUNIQUESE</w:t>
      </w:r>
      <w:r>
        <w:rPr>
          <w:rFonts w:cs="Arial"/>
          <w:b/>
          <w:szCs w:val="24"/>
        </w:rPr>
        <w:t>,</w:t>
      </w:r>
      <w:r w:rsidRPr="0014735F">
        <w:rPr>
          <w:rFonts w:cs="Arial"/>
          <w:b/>
          <w:szCs w:val="24"/>
        </w:rPr>
        <w:t xml:space="preserve"> </w:t>
      </w:r>
      <w:r>
        <w:rPr>
          <w:rFonts w:cs="Arial"/>
          <w:b/>
          <w:szCs w:val="24"/>
        </w:rPr>
        <w:t>NOTIFIQUESE</w:t>
      </w:r>
      <w:r w:rsidR="00C754DA" w:rsidRPr="0014735F">
        <w:rPr>
          <w:rFonts w:cs="Arial"/>
          <w:b/>
          <w:szCs w:val="24"/>
        </w:rPr>
        <w:t xml:space="preserve"> Y CÚMPLASE</w:t>
      </w:r>
    </w:p>
    <w:p w14:paraId="04DB6113" w14:textId="6A5034CD" w:rsidR="00C754DA" w:rsidRDefault="00C754DA" w:rsidP="00C754DA">
      <w:pPr>
        <w:ind w:right="-374"/>
        <w:jc w:val="center"/>
        <w:rPr>
          <w:rFonts w:cs="Arial"/>
          <w:b/>
          <w:szCs w:val="24"/>
        </w:rPr>
      </w:pPr>
    </w:p>
    <w:p w14:paraId="22068659" w14:textId="77777777" w:rsidR="00330DC5" w:rsidRPr="0014735F" w:rsidRDefault="00330DC5" w:rsidP="00C754DA">
      <w:pPr>
        <w:ind w:right="-374"/>
        <w:jc w:val="center"/>
        <w:rPr>
          <w:rFonts w:cs="Arial"/>
          <w:b/>
          <w:szCs w:val="24"/>
        </w:rPr>
      </w:pPr>
    </w:p>
    <w:p w14:paraId="64DE8131" w14:textId="5709BEA8" w:rsidR="00C754DA" w:rsidRPr="0014735F" w:rsidRDefault="00C754DA" w:rsidP="00C754DA">
      <w:pPr>
        <w:ind w:right="-374"/>
        <w:jc w:val="center"/>
        <w:rPr>
          <w:rFonts w:cs="Arial"/>
          <w:b/>
          <w:szCs w:val="24"/>
        </w:rPr>
      </w:pPr>
      <w:r w:rsidRPr="0014735F">
        <w:rPr>
          <w:rFonts w:cs="Arial"/>
          <w:b/>
          <w:szCs w:val="24"/>
        </w:rPr>
        <w:t>XXXXXXXXXXXXXXXXXXX</w:t>
      </w:r>
    </w:p>
    <w:p w14:paraId="4F56B45D" w14:textId="0022F0EF" w:rsidR="005C12A0" w:rsidRPr="0014735F" w:rsidRDefault="00330DC5" w:rsidP="00330DC5">
      <w:pPr>
        <w:ind w:right="-374"/>
        <w:jc w:val="center"/>
        <w:rPr>
          <w:rFonts w:cs="Arial"/>
          <w:szCs w:val="24"/>
        </w:rPr>
      </w:pPr>
      <w:r>
        <w:rPr>
          <w:rFonts w:eastAsia="Calibri" w:cs="Arial"/>
          <w:szCs w:val="24"/>
          <w:lang w:val="es-CO"/>
        </w:rPr>
        <w:t>Profesional universitario 219-02 con funciones de instrucción/</w:t>
      </w:r>
      <w:r w:rsidR="00A00DF9" w:rsidRPr="0014735F">
        <w:rPr>
          <w:rFonts w:cs="Arial"/>
          <w:szCs w:val="24"/>
        </w:rPr>
        <w:t>Jefe</w:t>
      </w:r>
      <w:r w:rsidR="00C754DA" w:rsidRPr="0014735F">
        <w:rPr>
          <w:rFonts w:cs="Arial"/>
          <w:szCs w:val="24"/>
        </w:rPr>
        <w:t xml:space="preserve"> Oficina</w:t>
      </w:r>
      <w:r w:rsidR="00D37E8D">
        <w:rPr>
          <w:rFonts w:cs="Arial"/>
          <w:szCs w:val="24"/>
        </w:rPr>
        <w:t xml:space="preserve"> </w:t>
      </w:r>
      <w:r w:rsidR="00C754DA" w:rsidRPr="0014735F">
        <w:rPr>
          <w:rFonts w:cs="Arial"/>
          <w:szCs w:val="24"/>
        </w:rPr>
        <w:t>d</w:t>
      </w:r>
      <w:r w:rsidR="00D37E8D">
        <w:rPr>
          <w:rFonts w:cs="Arial"/>
          <w:szCs w:val="24"/>
        </w:rPr>
        <w:t xml:space="preserve">e Control </w:t>
      </w:r>
      <w:r w:rsidR="00C754DA" w:rsidRPr="0014735F">
        <w:rPr>
          <w:rFonts w:cs="Arial"/>
          <w:szCs w:val="24"/>
        </w:rPr>
        <w:t>Disciplinario</w:t>
      </w:r>
    </w:p>
    <w:sectPr w:rsidR="005C12A0" w:rsidRPr="0014735F" w:rsidSect="00E21111">
      <w:headerReference w:type="default" r:id="rId7"/>
      <w:footerReference w:type="default" r:id="rId8"/>
      <w:pgSz w:w="12240" w:h="15840" w:code="1"/>
      <w:pgMar w:top="1417" w:right="1701" w:bottom="1417" w:left="1701" w:header="397"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FC4AC" w14:textId="77777777" w:rsidR="004A776C" w:rsidRDefault="004A776C">
      <w:r>
        <w:separator/>
      </w:r>
    </w:p>
  </w:endnote>
  <w:endnote w:type="continuationSeparator" w:id="0">
    <w:p w14:paraId="2E9E2298" w14:textId="77777777" w:rsidR="004A776C" w:rsidRDefault="004A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6B7F" w14:textId="61FC8F99" w:rsidR="00964EFE" w:rsidRDefault="0020463D">
    <w:pPr>
      <w:pStyle w:val="Piedepgina"/>
    </w:pPr>
    <w:r>
      <w:rPr>
        <w:noProof/>
        <w:lang w:val="es-CO" w:eastAsia="es-CO"/>
      </w:rPr>
      <mc:AlternateContent>
        <mc:Choice Requires="wps">
          <w:drawing>
            <wp:anchor distT="0" distB="0" distL="114300" distR="114300" simplePos="0" relativeHeight="251660288" behindDoc="0" locked="0" layoutInCell="1" allowOverlap="1" wp14:anchorId="7277F11A" wp14:editId="7E6969A7">
              <wp:simplePos x="0" y="0"/>
              <wp:positionH relativeFrom="column">
                <wp:posOffset>5437505</wp:posOffset>
              </wp:positionH>
              <wp:positionV relativeFrom="paragraph">
                <wp:posOffset>98425</wp:posOffset>
              </wp:positionV>
              <wp:extent cx="723900" cy="17526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75260"/>
                      </a:xfrm>
                      <a:prstGeom prst="rect">
                        <a:avLst/>
                      </a:prstGeom>
                      <a:noFill/>
                      <a:ln w="9525">
                        <a:noFill/>
                        <a:miter lim="800000"/>
                        <a:headEnd/>
                        <a:tailEnd/>
                      </a:ln>
                      <a:effectLst/>
                    </wps:spPr>
                    <wps:txbx>
                      <w:txbxContent>
                        <w:p w14:paraId="2D072B92" w14:textId="77777777" w:rsidR="00964EFE" w:rsidRPr="008161B0" w:rsidRDefault="00964EFE" w:rsidP="008161B0">
                          <w:pPr>
                            <w:pStyle w:val="Piedepgina"/>
                            <w:jc w:val="center"/>
                            <w:rPr>
                              <w:rFonts w:cs="Arial"/>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7F11A" id="_x0000_t202" coordsize="21600,21600" o:spt="202" path="m,l,21600r21600,l21600,xe">
              <v:stroke joinstyle="miter"/>
              <v:path gradientshapeok="t" o:connecttype="rect"/>
            </v:shapetype>
            <v:shape id="Cuadro de texto 2" o:spid="_x0000_s1026" type="#_x0000_t202" style="position:absolute;margin-left:428.15pt;margin-top:7.75pt;width:57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" filled="f" stroked="f">
              <v:textbox inset="0,0,0,0">
                <w:txbxContent>
                  <w:p w14:paraId="2D072B92" w14:textId="77777777" w:rsidR="00964EFE" w:rsidRPr="008161B0" w:rsidRDefault="00964EFE" w:rsidP="008161B0">
                    <w:pPr>
                      <w:pStyle w:val="Piedepgina"/>
                      <w:jc w:val="center"/>
                      <w:rPr>
                        <w:rFonts w:cs="Arial"/>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C9913" w14:textId="77777777" w:rsidR="004A776C" w:rsidRDefault="004A776C">
      <w:r>
        <w:separator/>
      </w:r>
    </w:p>
  </w:footnote>
  <w:footnote w:type="continuationSeparator" w:id="0">
    <w:p w14:paraId="6F5AF59F" w14:textId="77777777" w:rsidR="004A776C" w:rsidRDefault="004A776C">
      <w:r>
        <w:continuationSeparator/>
      </w:r>
    </w:p>
  </w:footnote>
  <w:footnote w:id="1">
    <w:p w14:paraId="2B01751A" w14:textId="77777777" w:rsidR="00C754DA" w:rsidRDefault="00C754DA" w:rsidP="00C754DA">
      <w:pPr>
        <w:jc w:val="both"/>
      </w:pPr>
      <w:r>
        <w:rPr>
          <w:rStyle w:val="Refdenotaalpie"/>
          <w:rFonts w:eastAsia="Calibri"/>
        </w:rPr>
        <w:footnoteRef/>
      </w:r>
      <w:r>
        <w:t xml:space="preserve"> </w:t>
      </w:r>
      <w:r>
        <w:rPr>
          <w:bCs/>
        </w:rPr>
        <w:t>Sentencia C-404 de 2001, reiterado en sentencia C-818 de 2005</w:t>
      </w:r>
      <w:r>
        <w:t>.</w:t>
      </w:r>
    </w:p>
  </w:footnote>
  <w:footnote w:id="2">
    <w:p w14:paraId="71F62562" w14:textId="77777777" w:rsidR="00C754DA" w:rsidRDefault="00C754DA" w:rsidP="00C754DA">
      <w:pPr>
        <w:pStyle w:val="Textonotapie"/>
        <w:jc w:val="both"/>
      </w:pPr>
      <w:r>
        <w:rPr>
          <w:rStyle w:val="Refdenotaalpie"/>
        </w:rPr>
        <w:footnoteRef/>
      </w:r>
      <w:r>
        <w:t xml:space="preserve"> Ver las Sentencias C-244 de 1996, </w:t>
      </w:r>
      <w:r w:rsidRPr="005349D6">
        <w:t>C-564 de 2000</w:t>
      </w:r>
      <w:r>
        <w:t xml:space="preserve">, C-404 de 2001 y C-181 de 2002, </w:t>
      </w:r>
      <w:r w:rsidRPr="005349D6">
        <w:t>entre otras.</w:t>
      </w:r>
    </w:p>
  </w:footnote>
  <w:footnote w:id="3">
    <w:p w14:paraId="0B05109F" w14:textId="77777777" w:rsidR="00C754DA" w:rsidRDefault="00C754DA" w:rsidP="00C754DA">
      <w:pPr>
        <w:pStyle w:val="Textonotapie"/>
        <w:jc w:val="both"/>
      </w:pPr>
      <w:r>
        <w:rPr>
          <w:rStyle w:val="Refdenotaalpie"/>
        </w:rPr>
        <w:footnoteRef/>
      </w:r>
      <w:r>
        <w:t xml:space="preserve"> Ver Sentencia C-404 de </w:t>
      </w:r>
      <w:smartTag w:uri="urn:schemas-microsoft-com:office:smarttags" w:element="metricconverter">
        <w:smartTagPr>
          <w:attr w:name="ProductID" w:val="2001, M"/>
        </w:smartTagPr>
        <w:r>
          <w:t>2001, M</w:t>
        </w:r>
      </w:smartTag>
      <w:r>
        <w:t>.P. Marco Gerardo Monroy Cabra.</w:t>
      </w:r>
    </w:p>
  </w:footnote>
  <w:footnote w:id="4">
    <w:p w14:paraId="5C5B6C84" w14:textId="77777777" w:rsidR="00C754DA" w:rsidRDefault="00C754DA" w:rsidP="00C754DA">
      <w:pPr>
        <w:pStyle w:val="Textonotapie"/>
        <w:jc w:val="both"/>
      </w:pPr>
      <w:r>
        <w:rPr>
          <w:rStyle w:val="Refdenotaalpie"/>
        </w:rPr>
        <w:footnoteRef/>
      </w:r>
      <w:r>
        <w:t xml:space="preserve"> </w:t>
      </w:r>
      <w:proofErr w:type="spellStart"/>
      <w:r>
        <w:t>Ibidem</w:t>
      </w:r>
      <w:proofErr w:type="spellEnd"/>
      <w:r>
        <w:t>.</w:t>
      </w:r>
    </w:p>
  </w:footnote>
  <w:footnote w:id="5">
    <w:p w14:paraId="3A5EEC1B" w14:textId="77777777" w:rsidR="00C754DA" w:rsidRDefault="00C754DA" w:rsidP="00C754DA">
      <w:pPr>
        <w:jc w:val="both"/>
      </w:pPr>
      <w:r>
        <w:rPr>
          <w:rStyle w:val="Refdenotaalpie"/>
          <w:rFonts w:eastAsia="Calibri"/>
        </w:rPr>
        <w:footnoteRef/>
      </w:r>
      <w:r>
        <w:t xml:space="preserve"> Sentencia T-1093 de </w:t>
      </w:r>
      <w:smartTag w:uri="urn:schemas-microsoft-com:office:smarttags" w:element="metricconverter">
        <w:smartTagPr>
          <w:attr w:name="ProductID" w:val="2004, M"/>
        </w:smartTagPr>
        <w:r>
          <w:t>2004, M</w:t>
        </w:r>
      </w:smartTag>
      <w:r>
        <w:t>.P. Manuel José Cepeda Espinosa.</w:t>
      </w:r>
      <w:r>
        <w:rPr>
          <w:i/>
          <w:iCs/>
        </w:rPr>
        <w:t xml:space="preserve">    </w:t>
      </w:r>
    </w:p>
  </w:footnote>
  <w:footnote w:id="6">
    <w:p w14:paraId="66948DB7" w14:textId="77777777" w:rsidR="00C754DA" w:rsidRDefault="00C754DA" w:rsidP="00C754DA">
      <w:pPr>
        <w:jc w:val="both"/>
      </w:pPr>
      <w:r>
        <w:rPr>
          <w:rStyle w:val="Refdenotaalpie"/>
          <w:rFonts w:eastAsia="Calibri"/>
        </w:rPr>
        <w:footnoteRef/>
      </w:r>
      <w:r>
        <w:t xml:space="preserve"> Sentencia C-948 de </w:t>
      </w:r>
      <w:smartTag w:uri="urn:schemas-microsoft-com:office:smarttags" w:element="metricconverter">
        <w:smartTagPr>
          <w:attr w:name="ProductID" w:val="2002. M"/>
        </w:smartTagPr>
        <w:r>
          <w:t>2002. M</w:t>
        </w:r>
      </w:smartTag>
      <w:r>
        <w:t>.P. Álvaro Tafur Galvis.</w:t>
      </w:r>
    </w:p>
  </w:footnote>
  <w:footnote w:id="7">
    <w:p w14:paraId="6C0D9160" w14:textId="77777777" w:rsidR="00C754DA" w:rsidRDefault="00C754DA" w:rsidP="00C754DA">
      <w:pPr>
        <w:jc w:val="both"/>
      </w:pPr>
      <w:r w:rsidRPr="00CF236D">
        <w:rPr>
          <w:rStyle w:val="Refdenotaalpie"/>
          <w:rFonts w:eastAsia="Calibri"/>
        </w:rPr>
        <w:footnoteRef/>
      </w:r>
      <w:r w:rsidRPr="00CF236D">
        <w:t xml:space="preserve"> </w:t>
      </w:r>
      <w:r w:rsidRPr="00CF236D">
        <w:rPr>
          <w:bCs/>
        </w:rPr>
        <w:t xml:space="preserve">Sentencia C-818 de </w:t>
      </w:r>
      <w:smartTag w:uri="urn:schemas-microsoft-com:office:smarttags" w:element="metricconverter">
        <w:smartTagPr>
          <w:attr w:name="ProductID" w:val="2005, M"/>
        </w:smartTagPr>
        <w:r w:rsidRPr="00CF236D">
          <w:rPr>
            <w:bCs/>
          </w:rPr>
          <w:t>2005, M</w:t>
        </w:r>
      </w:smartTag>
      <w:r w:rsidRPr="00CF236D">
        <w:rPr>
          <w:bCs/>
        </w:rPr>
        <w:t xml:space="preserve">.P. </w:t>
      </w:r>
      <w:r w:rsidRPr="00CF236D">
        <w:t xml:space="preserve">Rodrigo Escobar Gil, reiterado en </w:t>
      </w:r>
      <w:smartTag w:uri="urn:schemas-microsoft-com:office:smarttags" w:element="PersonName">
        <w:smartTagPr>
          <w:attr w:name="ProductID" w:val="la Sentencia C-762"/>
        </w:smartTagPr>
        <w:r w:rsidRPr="00CF236D">
          <w:t xml:space="preserve">la </w:t>
        </w:r>
        <w:r>
          <w:t>Sentencia C-</w:t>
        </w:r>
        <w:r w:rsidRPr="00CF236D">
          <w:t>762</w:t>
        </w:r>
      </w:smartTag>
      <w:r>
        <w:t xml:space="preserve"> de </w:t>
      </w:r>
      <w:smartTag w:uri="urn:schemas-microsoft-com:office:smarttags" w:element="metricconverter">
        <w:smartTagPr>
          <w:attr w:name="ProductID" w:val="2009, M"/>
        </w:smartTagPr>
        <w:r>
          <w:t>20</w:t>
        </w:r>
        <w:r w:rsidRPr="00CF236D">
          <w:t>09, M</w:t>
        </w:r>
      </w:smartTag>
      <w:r w:rsidRPr="00CF236D">
        <w:t>.P. J</w:t>
      </w:r>
      <w:r>
        <w:t xml:space="preserve">uan Carlos Henao Pérez. </w:t>
      </w:r>
    </w:p>
  </w:footnote>
  <w:footnote w:id="8">
    <w:p w14:paraId="5F8EFF4B" w14:textId="77777777" w:rsidR="00C754DA" w:rsidRDefault="00C754DA" w:rsidP="00C754DA">
      <w:pPr>
        <w:jc w:val="both"/>
      </w:pPr>
      <w:r>
        <w:rPr>
          <w:rStyle w:val="Refdenotaalpie"/>
          <w:rFonts w:eastAsia="Calibri"/>
        </w:rPr>
        <w:footnoteRef/>
      </w:r>
      <w:r>
        <w:t xml:space="preserve"> </w:t>
      </w:r>
      <w:r>
        <w:rPr>
          <w:bCs/>
        </w:rPr>
        <w:t xml:space="preserve">Sentencia C-818 de 2005, ver también la sentencia </w:t>
      </w:r>
      <w:r>
        <w:t>C-371 de 2002.</w:t>
      </w:r>
    </w:p>
  </w:footnote>
  <w:footnote w:id="9">
    <w:p w14:paraId="0BE4BDFC" w14:textId="77777777" w:rsidR="00C754DA" w:rsidRDefault="00C754DA" w:rsidP="00C754DA">
      <w:pPr>
        <w:jc w:val="both"/>
      </w:pPr>
      <w:r>
        <w:rPr>
          <w:rStyle w:val="Refdenotaalpie"/>
          <w:rFonts w:eastAsia="Calibri"/>
        </w:rPr>
        <w:footnoteRef/>
      </w:r>
      <w:r>
        <w:t xml:space="preserve"> Véase sentencia C-371 de </w:t>
      </w:r>
      <w:smartTag w:uri="urn:schemas-microsoft-com:office:smarttags" w:element="metricconverter">
        <w:smartTagPr>
          <w:attr w:name="ProductID" w:val="2002, M"/>
        </w:smartTagPr>
        <w:r>
          <w:t>2002, M</w:t>
        </w:r>
      </w:smartTag>
      <w:r>
        <w:t xml:space="preserve">.P. Rodrigo Escobar Gil.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1604" w14:textId="77777777" w:rsidR="002826E5" w:rsidRDefault="002826E5">
    <w:pPr>
      <w:pStyle w:val="Encabezado"/>
      <w:rPr>
        <w:noProof/>
        <w:lang w:val="en-US"/>
      </w:rPr>
    </w:pPr>
    <w:r>
      <w:rPr>
        <w:noProof/>
        <w:lang w:val="en-US"/>
      </w:rPr>
      <w:t xml:space="preserve">    </w:t>
    </w:r>
  </w:p>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2826E5" w:rsidRPr="009952FC" w14:paraId="0B1E683E" w14:textId="77777777" w:rsidTr="00253A29">
      <w:trPr>
        <w:cantSplit/>
        <w:trHeight w:val="36"/>
      </w:trPr>
      <w:tc>
        <w:tcPr>
          <w:tcW w:w="1044" w:type="pct"/>
          <w:vMerge w:val="restart"/>
          <w:vAlign w:val="center"/>
        </w:tcPr>
        <w:p w14:paraId="32EA7976" w14:textId="77777777" w:rsidR="002826E5" w:rsidRPr="009952FC" w:rsidRDefault="002826E5" w:rsidP="002826E5">
          <w:pPr>
            <w:pStyle w:val="Encabezado"/>
            <w:jc w:val="center"/>
            <w:rPr>
              <w:rFonts w:cs="Arial"/>
            </w:rPr>
          </w:pPr>
          <w:r w:rsidRPr="009952FC">
            <w:rPr>
              <w:rFonts w:cs="Arial"/>
              <w:noProof/>
              <w:lang w:val="es-CO" w:eastAsia="es-CO"/>
            </w:rPr>
            <w:drawing>
              <wp:anchor distT="0" distB="0" distL="114300" distR="114300" simplePos="0" relativeHeight="251662336" behindDoc="1" locked="0" layoutInCell="1" allowOverlap="1" wp14:anchorId="6CE57532" wp14:editId="39CDE392">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68426DD2" w14:textId="77777777" w:rsidR="002826E5" w:rsidRPr="009952FC" w:rsidRDefault="002826E5" w:rsidP="002826E5">
          <w:pPr>
            <w:pStyle w:val="Encabezado"/>
            <w:jc w:val="center"/>
            <w:rPr>
              <w:rFonts w:cs="Arial"/>
              <w:b/>
            </w:rPr>
          </w:pPr>
          <w:r w:rsidRPr="009952FC">
            <w:rPr>
              <w:rFonts w:cs="Arial"/>
              <w:b/>
            </w:rPr>
            <w:t xml:space="preserve">INSTITUTO DE FINANCIAMIENTO, PROMOCIÓN Y DESARROLLO DE IBAGUÉ </w:t>
          </w:r>
        </w:p>
        <w:p w14:paraId="577BF5D7" w14:textId="77777777" w:rsidR="002826E5" w:rsidRPr="009952FC" w:rsidRDefault="002826E5" w:rsidP="002826E5">
          <w:pPr>
            <w:pStyle w:val="Encabezado"/>
            <w:jc w:val="center"/>
            <w:rPr>
              <w:rFonts w:cs="Arial"/>
              <w:b/>
            </w:rPr>
          </w:pPr>
          <w:r w:rsidRPr="009952FC">
            <w:rPr>
              <w:rFonts w:cs="Arial"/>
              <w:b/>
            </w:rPr>
            <w:t>- INFIBAGUÉ -</w:t>
          </w:r>
        </w:p>
      </w:tc>
      <w:tc>
        <w:tcPr>
          <w:tcW w:w="951" w:type="pct"/>
          <w:vAlign w:val="center"/>
        </w:tcPr>
        <w:p w14:paraId="4993302B" w14:textId="77777777" w:rsidR="002826E5" w:rsidRPr="009952FC" w:rsidRDefault="002826E5" w:rsidP="002826E5">
          <w:pPr>
            <w:pStyle w:val="Encabezado"/>
            <w:jc w:val="center"/>
            <w:rPr>
              <w:rFonts w:cs="Arial"/>
              <w:b/>
            </w:rPr>
          </w:pPr>
          <w:r w:rsidRPr="009952FC">
            <w:rPr>
              <w:rFonts w:cs="Arial"/>
              <w:b/>
            </w:rPr>
            <w:t xml:space="preserve">Código: </w:t>
          </w:r>
        </w:p>
        <w:p w14:paraId="2EABAD26" w14:textId="2C4B70BE" w:rsidR="002826E5" w:rsidRPr="009952FC" w:rsidRDefault="002826E5" w:rsidP="002826E5">
          <w:pPr>
            <w:pStyle w:val="Encabezado"/>
            <w:jc w:val="center"/>
            <w:rPr>
              <w:rFonts w:cs="Arial"/>
              <w:b/>
            </w:rPr>
          </w:pPr>
          <w:r w:rsidRPr="009952FC">
            <w:rPr>
              <w:rFonts w:cs="Arial"/>
              <w:b/>
            </w:rPr>
            <w:t>FOR-</w:t>
          </w:r>
          <w:r>
            <w:rPr>
              <w:rFonts w:cs="Arial"/>
              <w:b/>
            </w:rPr>
            <w:t>CD</w:t>
          </w:r>
          <w:r w:rsidRPr="009952FC">
            <w:rPr>
              <w:rFonts w:cs="Arial"/>
              <w:b/>
            </w:rPr>
            <w:t>-0</w:t>
          </w:r>
          <w:r>
            <w:rPr>
              <w:rFonts w:cs="Arial"/>
              <w:b/>
            </w:rPr>
            <w:t>39</w:t>
          </w:r>
        </w:p>
      </w:tc>
    </w:tr>
    <w:tr w:rsidR="002826E5" w:rsidRPr="009952FC" w14:paraId="0BEB3E1F" w14:textId="77777777" w:rsidTr="00253A29">
      <w:trPr>
        <w:cantSplit/>
        <w:trHeight w:val="211"/>
      </w:trPr>
      <w:tc>
        <w:tcPr>
          <w:tcW w:w="1044" w:type="pct"/>
          <w:vMerge/>
          <w:vAlign w:val="center"/>
        </w:tcPr>
        <w:p w14:paraId="2891D968" w14:textId="77777777" w:rsidR="002826E5" w:rsidRPr="009952FC" w:rsidRDefault="002826E5" w:rsidP="002826E5">
          <w:pPr>
            <w:pStyle w:val="Encabezado"/>
            <w:jc w:val="center"/>
            <w:rPr>
              <w:rFonts w:cs="Arial"/>
            </w:rPr>
          </w:pPr>
        </w:p>
      </w:tc>
      <w:tc>
        <w:tcPr>
          <w:tcW w:w="3005" w:type="pct"/>
          <w:vMerge/>
          <w:vAlign w:val="center"/>
        </w:tcPr>
        <w:p w14:paraId="7E4E3E2C" w14:textId="77777777" w:rsidR="002826E5" w:rsidRPr="009952FC" w:rsidRDefault="002826E5" w:rsidP="002826E5">
          <w:pPr>
            <w:pStyle w:val="Encabezado"/>
            <w:jc w:val="center"/>
            <w:rPr>
              <w:rFonts w:cs="Arial"/>
              <w:b/>
              <w:noProof/>
            </w:rPr>
          </w:pPr>
        </w:p>
      </w:tc>
      <w:tc>
        <w:tcPr>
          <w:tcW w:w="951" w:type="pct"/>
          <w:vAlign w:val="center"/>
        </w:tcPr>
        <w:p w14:paraId="1AB4248F" w14:textId="165B3830" w:rsidR="002826E5" w:rsidRPr="009952FC" w:rsidRDefault="007F75B7" w:rsidP="002826E5">
          <w:pPr>
            <w:pStyle w:val="Encabezado"/>
            <w:jc w:val="center"/>
            <w:rPr>
              <w:rFonts w:cs="Arial"/>
              <w:b/>
            </w:rPr>
          </w:pPr>
          <w:r>
            <w:rPr>
              <w:rFonts w:cs="Arial"/>
              <w:b/>
            </w:rPr>
            <w:t>Versión: 02</w:t>
          </w:r>
        </w:p>
      </w:tc>
    </w:tr>
    <w:tr w:rsidR="002826E5" w:rsidRPr="009952FC" w14:paraId="1ADB5E7E" w14:textId="77777777" w:rsidTr="00253A29">
      <w:trPr>
        <w:cantSplit/>
        <w:trHeight w:val="213"/>
      </w:trPr>
      <w:tc>
        <w:tcPr>
          <w:tcW w:w="1044" w:type="pct"/>
          <w:vMerge/>
        </w:tcPr>
        <w:p w14:paraId="5ABAD944" w14:textId="77777777" w:rsidR="002826E5" w:rsidRPr="009952FC" w:rsidRDefault="002826E5" w:rsidP="002826E5">
          <w:pPr>
            <w:pStyle w:val="Encabezado"/>
            <w:rPr>
              <w:rFonts w:cs="Arial"/>
            </w:rPr>
          </w:pPr>
        </w:p>
      </w:tc>
      <w:tc>
        <w:tcPr>
          <w:tcW w:w="3005" w:type="pct"/>
          <w:vMerge w:val="restart"/>
          <w:shd w:val="clear" w:color="auto" w:fill="auto"/>
          <w:vAlign w:val="center"/>
        </w:tcPr>
        <w:p w14:paraId="4D2DF3C6" w14:textId="0EE2AD6F" w:rsidR="002826E5" w:rsidRPr="009952FC" w:rsidRDefault="002826E5" w:rsidP="002826E5">
          <w:pPr>
            <w:pStyle w:val="Encabezado"/>
            <w:jc w:val="center"/>
            <w:rPr>
              <w:rFonts w:cs="Arial"/>
              <w:b/>
            </w:rPr>
          </w:pPr>
          <w:r>
            <w:rPr>
              <w:rFonts w:eastAsia="Arial" w:cs="Arial"/>
              <w:b/>
            </w:rPr>
            <w:t>AUTO QUE RESUELVE NULIDAD</w:t>
          </w:r>
          <w:r w:rsidRPr="009952FC">
            <w:rPr>
              <w:rFonts w:eastAsia="Arial" w:cs="Arial"/>
              <w:b/>
            </w:rPr>
            <w:t xml:space="preserve">  </w:t>
          </w:r>
        </w:p>
      </w:tc>
      <w:tc>
        <w:tcPr>
          <w:tcW w:w="951" w:type="pct"/>
          <w:vAlign w:val="center"/>
        </w:tcPr>
        <w:p w14:paraId="76EDC63F" w14:textId="18CA6799" w:rsidR="002826E5" w:rsidRPr="009952FC" w:rsidRDefault="002826E5" w:rsidP="007F75B7">
          <w:pPr>
            <w:pStyle w:val="Encabezado"/>
            <w:jc w:val="center"/>
            <w:rPr>
              <w:rFonts w:cs="Arial"/>
              <w:b/>
            </w:rPr>
          </w:pPr>
          <w:r w:rsidRPr="009952FC">
            <w:rPr>
              <w:rFonts w:cs="Arial"/>
              <w:b/>
            </w:rPr>
            <w:t xml:space="preserve">Vigente desde: </w:t>
          </w:r>
          <w:r w:rsidR="007F75B7">
            <w:rPr>
              <w:rFonts w:cs="Arial"/>
              <w:b/>
            </w:rPr>
            <w:t>2026/05/13</w:t>
          </w:r>
        </w:p>
      </w:tc>
    </w:tr>
    <w:tr w:rsidR="002826E5" w:rsidRPr="009952FC" w14:paraId="355A8678" w14:textId="77777777" w:rsidTr="00253A29">
      <w:trPr>
        <w:cantSplit/>
        <w:trHeight w:val="164"/>
      </w:trPr>
      <w:tc>
        <w:tcPr>
          <w:tcW w:w="1044" w:type="pct"/>
          <w:vMerge/>
        </w:tcPr>
        <w:p w14:paraId="6CC4C822" w14:textId="77777777" w:rsidR="002826E5" w:rsidRPr="009952FC" w:rsidRDefault="002826E5" w:rsidP="002826E5">
          <w:pPr>
            <w:pStyle w:val="Encabezado"/>
            <w:rPr>
              <w:rFonts w:cs="Arial"/>
            </w:rPr>
          </w:pPr>
        </w:p>
      </w:tc>
      <w:tc>
        <w:tcPr>
          <w:tcW w:w="3005" w:type="pct"/>
          <w:vMerge/>
          <w:shd w:val="clear" w:color="auto" w:fill="auto"/>
          <w:vAlign w:val="center"/>
        </w:tcPr>
        <w:p w14:paraId="543EC1AD" w14:textId="77777777" w:rsidR="002826E5" w:rsidRPr="009952FC" w:rsidRDefault="002826E5" w:rsidP="002826E5">
          <w:pPr>
            <w:pStyle w:val="Encabezado"/>
            <w:jc w:val="center"/>
            <w:rPr>
              <w:rFonts w:cs="Arial"/>
              <w:b/>
            </w:rPr>
          </w:pPr>
        </w:p>
      </w:tc>
      <w:tc>
        <w:tcPr>
          <w:tcW w:w="951" w:type="pct"/>
          <w:vAlign w:val="center"/>
        </w:tcPr>
        <w:p w14:paraId="0698F779" w14:textId="7846DC3C" w:rsidR="002826E5" w:rsidRPr="009952FC" w:rsidRDefault="002826E5" w:rsidP="002826E5">
          <w:pPr>
            <w:pStyle w:val="Encabezado"/>
            <w:jc w:val="center"/>
            <w:rPr>
              <w:rFonts w:cs="Arial"/>
              <w:b/>
            </w:rPr>
          </w:pPr>
          <w:r w:rsidRPr="009952FC">
            <w:rPr>
              <w:rFonts w:cs="Arial"/>
              <w:b/>
            </w:rPr>
            <w:t xml:space="preserve">Pág. </w:t>
          </w:r>
          <w:r w:rsidRPr="009952FC">
            <w:rPr>
              <w:rStyle w:val="Nmerodepgina"/>
              <w:rFonts w:cs="Arial"/>
              <w:b/>
            </w:rPr>
            <w:fldChar w:fldCharType="begin"/>
          </w:r>
          <w:r w:rsidRPr="009952FC">
            <w:rPr>
              <w:rStyle w:val="Nmerodepgina"/>
              <w:rFonts w:cs="Arial"/>
              <w:b/>
            </w:rPr>
            <w:instrText xml:space="preserve"> PAGE </w:instrText>
          </w:r>
          <w:r w:rsidRPr="009952FC">
            <w:rPr>
              <w:rStyle w:val="Nmerodepgina"/>
              <w:rFonts w:cs="Arial"/>
              <w:b/>
            </w:rPr>
            <w:fldChar w:fldCharType="separate"/>
          </w:r>
          <w:r w:rsidR="007F75B7">
            <w:rPr>
              <w:rStyle w:val="Nmerodepgina"/>
              <w:rFonts w:cs="Arial"/>
              <w:b/>
              <w:noProof/>
            </w:rPr>
            <w:t>8</w:t>
          </w:r>
          <w:r w:rsidRPr="009952FC">
            <w:rPr>
              <w:rStyle w:val="Nmerodepgina"/>
              <w:rFonts w:cs="Arial"/>
              <w:b/>
            </w:rPr>
            <w:fldChar w:fldCharType="end"/>
          </w:r>
          <w:r w:rsidRPr="009952FC">
            <w:rPr>
              <w:rStyle w:val="Nmerodepgina"/>
              <w:rFonts w:cs="Arial"/>
              <w:b/>
            </w:rPr>
            <w:t xml:space="preserve"> de </w:t>
          </w:r>
          <w:r w:rsidRPr="009952FC">
            <w:rPr>
              <w:rStyle w:val="Nmerodepgina"/>
              <w:rFonts w:cs="Arial"/>
              <w:b/>
            </w:rPr>
            <w:fldChar w:fldCharType="begin"/>
          </w:r>
          <w:r w:rsidRPr="009952FC">
            <w:rPr>
              <w:rStyle w:val="Nmerodepgina"/>
              <w:rFonts w:cs="Arial"/>
              <w:b/>
            </w:rPr>
            <w:instrText xml:space="preserve"> NUMPAGES </w:instrText>
          </w:r>
          <w:r w:rsidRPr="009952FC">
            <w:rPr>
              <w:rStyle w:val="Nmerodepgina"/>
              <w:rFonts w:cs="Arial"/>
              <w:b/>
            </w:rPr>
            <w:fldChar w:fldCharType="separate"/>
          </w:r>
          <w:r w:rsidR="007F75B7">
            <w:rPr>
              <w:rStyle w:val="Nmerodepgina"/>
              <w:rFonts w:cs="Arial"/>
              <w:b/>
              <w:noProof/>
            </w:rPr>
            <w:t>8</w:t>
          </w:r>
          <w:r w:rsidRPr="009952FC">
            <w:rPr>
              <w:rStyle w:val="Nmerodepgina"/>
              <w:rFonts w:cs="Arial"/>
              <w:b/>
            </w:rPr>
            <w:fldChar w:fldCharType="end"/>
          </w:r>
        </w:p>
      </w:tc>
    </w:tr>
  </w:tbl>
  <w:p w14:paraId="632B78E3" w14:textId="68889B92" w:rsidR="00964EFE" w:rsidRDefault="00964EFE">
    <w:pPr>
      <w:pStyle w:val="Encabezado"/>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43F6D"/>
    <w:multiLevelType w:val="multilevel"/>
    <w:tmpl w:val="0B122A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FE20D2"/>
    <w:multiLevelType w:val="hybridMultilevel"/>
    <w:tmpl w:val="7D3CDBBE"/>
    <w:lvl w:ilvl="0" w:tplc="8C589DE4">
      <w:start w:val="1"/>
      <w:numFmt w:val="decimal"/>
      <w:lvlText w:val="%1."/>
      <w:lvlJc w:val="left"/>
      <w:pPr>
        <w:ind w:left="928"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FD41813"/>
    <w:multiLevelType w:val="hybridMultilevel"/>
    <w:tmpl w:val="6F12A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3D"/>
    <w:rsid w:val="0014735F"/>
    <w:rsid w:val="0020463D"/>
    <w:rsid w:val="002826E5"/>
    <w:rsid w:val="003051FA"/>
    <w:rsid w:val="00330DC5"/>
    <w:rsid w:val="00332F1A"/>
    <w:rsid w:val="003C2A4B"/>
    <w:rsid w:val="004A776C"/>
    <w:rsid w:val="00523572"/>
    <w:rsid w:val="00552CFC"/>
    <w:rsid w:val="005C12A0"/>
    <w:rsid w:val="0061188C"/>
    <w:rsid w:val="00711965"/>
    <w:rsid w:val="00754C70"/>
    <w:rsid w:val="007C1544"/>
    <w:rsid w:val="007E6515"/>
    <w:rsid w:val="007F75B7"/>
    <w:rsid w:val="00804C4B"/>
    <w:rsid w:val="00915642"/>
    <w:rsid w:val="00964EFE"/>
    <w:rsid w:val="009F78B9"/>
    <w:rsid w:val="00A00DF9"/>
    <w:rsid w:val="00A84C1D"/>
    <w:rsid w:val="00B60266"/>
    <w:rsid w:val="00BD6CEA"/>
    <w:rsid w:val="00C67B2B"/>
    <w:rsid w:val="00C754DA"/>
    <w:rsid w:val="00C8547E"/>
    <w:rsid w:val="00C86CD9"/>
    <w:rsid w:val="00D32B3B"/>
    <w:rsid w:val="00D37E8D"/>
    <w:rsid w:val="00D47D39"/>
    <w:rsid w:val="00DD246C"/>
    <w:rsid w:val="00EE7AFE"/>
    <w:rsid w:val="00F511A8"/>
    <w:rsid w:val="00FB62E4"/>
    <w:rsid w:val="00FD4D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01FECB7D"/>
  <w15:chartTrackingRefBased/>
  <w15:docId w15:val="{CDDE16A1-9577-40B9-A0C3-17BDACEB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63D"/>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h,h8,h9,h10,h18 Car,h18"/>
    <w:basedOn w:val="Normal"/>
    <w:link w:val="EncabezadoCar"/>
    <w:unhideWhenUsed/>
    <w:rsid w:val="0020463D"/>
    <w:pPr>
      <w:tabs>
        <w:tab w:val="center" w:pos="4419"/>
        <w:tab w:val="right" w:pos="8838"/>
      </w:tabs>
    </w:pPr>
  </w:style>
  <w:style w:type="character" w:customStyle="1" w:styleId="EncabezadoCar">
    <w:name w:val="Encabezado Car"/>
    <w:aliases w:val="Encabezado1 Car,encabezado Car,Encabezado Car Car Car Car Car Car,Encabezado Car Car Car Car,h Car,h8 Car,h9 Car,h10 Car,h18 Car Car,h18 Car1"/>
    <w:basedOn w:val="Fuentedeprrafopredeter"/>
    <w:link w:val="Encabezado"/>
    <w:rsid w:val="0020463D"/>
    <w:rPr>
      <w:rFonts w:ascii="Arial" w:eastAsia="Times New Roman" w:hAnsi="Arial" w:cs="Times New Roman"/>
      <w:color w:val="000000"/>
      <w:sz w:val="24"/>
      <w:szCs w:val="20"/>
      <w:lang w:val="es-ES_tradnl" w:eastAsia="es-ES"/>
    </w:rPr>
  </w:style>
  <w:style w:type="paragraph" w:styleId="Piedepgina">
    <w:name w:val="footer"/>
    <w:basedOn w:val="Normal"/>
    <w:link w:val="PiedepginaCar"/>
    <w:uiPriority w:val="99"/>
    <w:unhideWhenUsed/>
    <w:rsid w:val="0020463D"/>
    <w:pPr>
      <w:tabs>
        <w:tab w:val="center" w:pos="4419"/>
        <w:tab w:val="right" w:pos="8838"/>
      </w:tabs>
    </w:pPr>
  </w:style>
  <w:style w:type="character" w:customStyle="1" w:styleId="PiedepginaCar">
    <w:name w:val="Pie de página Car"/>
    <w:basedOn w:val="Fuentedeprrafopredeter"/>
    <w:link w:val="Piedepgina"/>
    <w:uiPriority w:val="99"/>
    <w:rsid w:val="0020463D"/>
    <w:rPr>
      <w:rFonts w:ascii="Arial" w:eastAsia="Times New Roman" w:hAnsi="Arial" w:cs="Times New Roman"/>
      <w:color w:val="000000"/>
      <w:sz w:val="24"/>
      <w:szCs w:val="20"/>
      <w:lang w:val="es-ES_tradnl" w:eastAsia="es-ES"/>
    </w:rPr>
  </w:style>
  <w:style w:type="paragraph" w:styleId="Prrafodelista">
    <w:name w:val="List Paragraph"/>
    <w:basedOn w:val="Normal"/>
    <w:uiPriority w:val="34"/>
    <w:qFormat/>
    <w:rsid w:val="0020463D"/>
    <w:pPr>
      <w:ind w:left="720"/>
      <w:contextualSpacing/>
    </w:pPr>
  </w:style>
  <w:style w:type="table" w:styleId="Tablaconcuadrcula">
    <w:name w:val="Table Grid"/>
    <w:basedOn w:val="Tablanormal"/>
    <w:uiPriority w:val="39"/>
    <w:rsid w:val="00C754D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754DA"/>
    <w:pPr>
      <w:overflowPunct/>
      <w:autoSpaceDE/>
      <w:autoSpaceDN/>
      <w:adjustRightInd/>
      <w:textAlignment w:val="auto"/>
    </w:pPr>
    <w:rPr>
      <w:rFonts w:ascii="Calibri" w:eastAsia="Calibri" w:hAnsi="Calibri"/>
      <w:color w:val="auto"/>
      <w:sz w:val="20"/>
      <w:lang w:val="es-CO" w:eastAsia="en-US"/>
    </w:rPr>
  </w:style>
  <w:style w:type="character" w:customStyle="1" w:styleId="TextonotapieCar">
    <w:name w:val="Texto nota pie Car"/>
    <w:basedOn w:val="Fuentedeprrafopredeter"/>
    <w:link w:val="Textonotapie"/>
    <w:uiPriority w:val="99"/>
    <w:semiHidden/>
    <w:rsid w:val="00C754DA"/>
    <w:rPr>
      <w:rFonts w:ascii="Calibri" w:eastAsia="Calibri" w:hAnsi="Calibri" w:cs="Times New Roman"/>
      <w:sz w:val="20"/>
      <w:szCs w:val="20"/>
      <w:lang w:val="es-CO"/>
    </w:rPr>
  </w:style>
  <w:style w:type="character" w:styleId="Refdenotaalpie">
    <w:name w:val="footnote reference"/>
    <w:aliases w:val="Ref. de nota al pie 2,Ref. de nota al,Texto de nota al pie,Texto de nota al pi,Ref,de nota al pie,FC,Appel note de bas de p,Pie de Página,texto de nota al pie Car Car Car2,referencia nota al pie,Appel note de bas de page"/>
    <w:uiPriority w:val="99"/>
    <w:rsid w:val="00C754DA"/>
    <w:rPr>
      <w:rFonts w:cs="Times New Roman"/>
      <w:vertAlign w:val="superscript"/>
    </w:rPr>
  </w:style>
  <w:style w:type="character" w:styleId="Nmerodepgina">
    <w:name w:val="page number"/>
    <w:basedOn w:val="Fuentedeprrafopredeter"/>
    <w:rsid w:val="0028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8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2579</Words>
  <Characters>14185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 barrero</dc:creator>
  <cp:keywords/>
  <dc:description/>
  <cp:lastModifiedBy>ANDRES LAMPREA ARROYO</cp:lastModifiedBy>
  <cp:revision>7</cp:revision>
  <dcterms:created xsi:type="dcterms:W3CDTF">2026-03-06T13:06:00Z</dcterms:created>
  <dcterms:modified xsi:type="dcterms:W3CDTF">2026-05-14T22:18:00Z</dcterms:modified>
</cp:coreProperties>
</file>