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3FC" w:rsidRPr="00BA3632" w:rsidRDefault="008D2B2B">
      <w:pPr>
        <w:pStyle w:val="Ttulo1"/>
        <w:numPr>
          <w:ilvl w:val="0"/>
          <w:numId w:val="3"/>
        </w:numPr>
        <w:tabs>
          <w:tab w:val="left" w:pos="693"/>
          <w:tab w:val="left" w:pos="9697"/>
        </w:tabs>
        <w:spacing w:before="91"/>
        <w:ind w:left="693" w:hanging="431"/>
        <w:rPr>
          <w:sz w:val="24"/>
          <w:szCs w:val="24"/>
        </w:rPr>
      </w:pPr>
      <w:r w:rsidRPr="00BA3632">
        <w:rPr>
          <w:color w:val="000000"/>
          <w:spacing w:val="-2"/>
          <w:sz w:val="24"/>
          <w:szCs w:val="24"/>
          <w:shd w:val="clear" w:color="auto" w:fill="BEBEBE"/>
        </w:rPr>
        <w:t>OBJETO</w:t>
      </w:r>
      <w:r w:rsidRPr="00BA3632">
        <w:rPr>
          <w:color w:val="000000"/>
          <w:sz w:val="24"/>
          <w:szCs w:val="24"/>
          <w:shd w:val="clear" w:color="auto" w:fill="BEBEBE"/>
        </w:rPr>
        <w:tab/>
      </w:r>
    </w:p>
    <w:p w:rsidR="002253FC" w:rsidRPr="00BA3632" w:rsidRDefault="002253FC">
      <w:pPr>
        <w:pStyle w:val="Textoindependiente"/>
        <w:spacing w:before="73"/>
        <w:rPr>
          <w:rFonts w:ascii="Arial" w:hAnsi="Arial" w:cs="Arial"/>
          <w:b/>
          <w:sz w:val="24"/>
          <w:szCs w:val="24"/>
        </w:rPr>
      </w:pPr>
    </w:p>
    <w:p w:rsidR="00E12FDC" w:rsidRPr="00BA3632" w:rsidRDefault="00E12FDC">
      <w:pPr>
        <w:pStyle w:val="Textoindependiente"/>
        <w:spacing w:line="276" w:lineRule="auto"/>
        <w:ind w:left="262" w:right="406"/>
        <w:jc w:val="both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sz w:val="24"/>
          <w:szCs w:val="24"/>
        </w:rPr>
        <w:t>Establecer las actividades, responsabilidades, controles y registros necesarios para la administración, seguimiento, normalización, recaudo y recuperación de las obligaciones a favor del Instituto de Financiamiento, Promoción y Desarrollo de Ibagué – INFIBAGUÉ, garantizando la aplicación de la normatividad vigente, la adecuada gestión del riesgo de crédito y la eficiencia en el recaudo de los recursos públicos.</w:t>
      </w:r>
    </w:p>
    <w:p w:rsidR="002253FC" w:rsidRPr="00BA3632" w:rsidRDefault="002253FC">
      <w:pPr>
        <w:pStyle w:val="Textoindependiente"/>
        <w:rPr>
          <w:rFonts w:ascii="Arial" w:hAnsi="Arial" w:cs="Arial"/>
          <w:sz w:val="24"/>
          <w:szCs w:val="24"/>
        </w:rPr>
      </w:pPr>
    </w:p>
    <w:p w:rsidR="002253FC" w:rsidRPr="00BA3632" w:rsidRDefault="002253FC">
      <w:pPr>
        <w:pStyle w:val="Textoindependiente"/>
        <w:spacing w:before="75"/>
        <w:rPr>
          <w:rFonts w:ascii="Arial" w:hAnsi="Arial" w:cs="Arial"/>
          <w:sz w:val="24"/>
          <w:szCs w:val="24"/>
        </w:rPr>
      </w:pPr>
    </w:p>
    <w:p w:rsidR="002253FC" w:rsidRPr="00BA3632" w:rsidRDefault="008D2B2B">
      <w:pPr>
        <w:pStyle w:val="Ttulo1"/>
        <w:numPr>
          <w:ilvl w:val="0"/>
          <w:numId w:val="3"/>
        </w:numPr>
        <w:tabs>
          <w:tab w:val="left" w:pos="693"/>
          <w:tab w:val="left" w:pos="9697"/>
        </w:tabs>
        <w:ind w:left="693" w:hanging="431"/>
        <w:rPr>
          <w:sz w:val="24"/>
          <w:szCs w:val="24"/>
        </w:rPr>
      </w:pPr>
      <w:r w:rsidRPr="00BA3632">
        <w:rPr>
          <w:color w:val="000000"/>
          <w:spacing w:val="-2"/>
          <w:sz w:val="24"/>
          <w:szCs w:val="24"/>
          <w:shd w:val="clear" w:color="auto" w:fill="BEBEBE"/>
        </w:rPr>
        <w:t>ALCANCE</w:t>
      </w:r>
      <w:r w:rsidRPr="00BA3632">
        <w:rPr>
          <w:color w:val="000000"/>
          <w:sz w:val="24"/>
          <w:szCs w:val="24"/>
          <w:shd w:val="clear" w:color="auto" w:fill="BEBEBE"/>
        </w:rPr>
        <w:tab/>
      </w:r>
    </w:p>
    <w:p w:rsidR="00435264" w:rsidRPr="00435264" w:rsidRDefault="00435264" w:rsidP="00435264">
      <w:pPr>
        <w:widowControl/>
        <w:autoSpaceDE/>
        <w:autoSpaceDN/>
        <w:spacing w:before="100" w:beforeAutospacing="1" w:after="100" w:afterAutospacing="1"/>
        <w:ind w:left="26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435264">
        <w:rPr>
          <w:rFonts w:ascii="Arial" w:eastAsia="Times New Roman" w:hAnsi="Arial" w:cs="Arial"/>
          <w:sz w:val="24"/>
          <w:szCs w:val="24"/>
          <w:lang w:val="es-CO" w:eastAsia="es-CO"/>
        </w:rPr>
        <w:t>Inicia con la identificación de las obligaciones a favor de INFIBAGUÉ y finaliza con:</w:t>
      </w:r>
    </w:p>
    <w:p w:rsidR="00435264" w:rsidRPr="00435264" w:rsidRDefault="00435264" w:rsidP="00435264">
      <w:pPr>
        <w:widowControl/>
        <w:numPr>
          <w:ilvl w:val="0"/>
          <w:numId w:val="5"/>
        </w:numPr>
        <w:tabs>
          <w:tab w:val="clear" w:pos="720"/>
          <w:tab w:val="num" w:pos="982"/>
        </w:tabs>
        <w:autoSpaceDE/>
        <w:autoSpaceDN/>
        <w:spacing w:before="100" w:beforeAutospacing="1" w:after="100" w:afterAutospacing="1"/>
        <w:ind w:left="98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435264">
        <w:rPr>
          <w:rFonts w:ascii="Arial" w:eastAsia="Times New Roman" w:hAnsi="Arial" w:cs="Arial"/>
          <w:sz w:val="24"/>
          <w:szCs w:val="24"/>
          <w:lang w:val="es-CO" w:eastAsia="es-CO"/>
        </w:rPr>
        <w:t xml:space="preserve">El pago total de la obligación. </w:t>
      </w:r>
    </w:p>
    <w:p w:rsidR="00435264" w:rsidRPr="00435264" w:rsidRDefault="00435264" w:rsidP="00435264">
      <w:pPr>
        <w:widowControl/>
        <w:numPr>
          <w:ilvl w:val="0"/>
          <w:numId w:val="5"/>
        </w:numPr>
        <w:tabs>
          <w:tab w:val="clear" w:pos="720"/>
          <w:tab w:val="num" w:pos="982"/>
        </w:tabs>
        <w:autoSpaceDE/>
        <w:autoSpaceDN/>
        <w:spacing w:before="100" w:beforeAutospacing="1" w:after="100" w:afterAutospacing="1"/>
        <w:ind w:left="98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435264">
        <w:rPr>
          <w:rFonts w:ascii="Arial" w:eastAsia="Times New Roman" w:hAnsi="Arial" w:cs="Arial"/>
          <w:sz w:val="24"/>
          <w:szCs w:val="24"/>
          <w:lang w:val="es-CO" w:eastAsia="es-CO"/>
        </w:rPr>
        <w:t xml:space="preserve">El cumplimiento del acuerdo de pago. </w:t>
      </w:r>
    </w:p>
    <w:p w:rsidR="00435264" w:rsidRPr="00435264" w:rsidRDefault="00435264" w:rsidP="00435264">
      <w:pPr>
        <w:widowControl/>
        <w:numPr>
          <w:ilvl w:val="0"/>
          <w:numId w:val="5"/>
        </w:numPr>
        <w:tabs>
          <w:tab w:val="clear" w:pos="720"/>
          <w:tab w:val="num" w:pos="982"/>
        </w:tabs>
        <w:autoSpaceDE/>
        <w:autoSpaceDN/>
        <w:spacing w:before="100" w:beforeAutospacing="1" w:after="100" w:afterAutospacing="1"/>
        <w:ind w:left="98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435264">
        <w:rPr>
          <w:rFonts w:ascii="Arial" w:eastAsia="Times New Roman" w:hAnsi="Arial" w:cs="Arial"/>
          <w:sz w:val="24"/>
          <w:szCs w:val="24"/>
          <w:lang w:val="es-CO" w:eastAsia="es-CO"/>
        </w:rPr>
        <w:t xml:space="preserve">La terminación del proceso administrativo de cobro coactivo. </w:t>
      </w:r>
    </w:p>
    <w:p w:rsidR="007A5B2D" w:rsidRPr="00BA3632" w:rsidRDefault="00435264" w:rsidP="00435264">
      <w:pPr>
        <w:widowControl/>
        <w:numPr>
          <w:ilvl w:val="0"/>
          <w:numId w:val="5"/>
        </w:numPr>
        <w:tabs>
          <w:tab w:val="clear" w:pos="720"/>
          <w:tab w:val="num" w:pos="982"/>
        </w:tabs>
        <w:autoSpaceDE/>
        <w:autoSpaceDN/>
        <w:spacing w:before="100" w:beforeAutospacing="1" w:after="100" w:afterAutospacing="1"/>
        <w:ind w:left="98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435264">
        <w:rPr>
          <w:rFonts w:ascii="Arial" w:eastAsia="Times New Roman" w:hAnsi="Arial" w:cs="Arial"/>
          <w:sz w:val="24"/>
          <w:szCs w:val="24"/>
          <w:lang w:val="es-CO" w:eastAsia="es-CO"/>
        </w:rPr>
        <w:t>La remisión del expediente a la autoridad competente para cobro coactivo.</w:t>
      </w:r>
    </w:p>
    <w:p w:rsidR="00435264" w:rsidRPr="00435264" w:rsidRDefault="007A5B2D" w:rsidP="00435264">
      <w:pPr>
        <w:widowControl/>
        <w:numPr>
          <w:ilvl w:val="0"/>
          <w:numId w:val="5"/>
        </w:numPr>
        <w:tabs>
          <w:tab w:val="clear" w:pos="720"/>
          <w:tab w:val="num" w:pos="982"/>
        </w:tabs>
        <w:autoSpaceDE/>
        <w:autoSpaceDN/>
        <w:spacing w:before="100" w:beforeAutospacing="1" w:after="100" w:afterAutospacing="1"/>
        <w:ind w:left="98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BA3632">
        <w:rPr>
          <w:rFonts w:ascii="Arial" w:eastAsia="Times New Roman" w:hAnsi="Arial" w:cs="Arial"/>
          <w:sz w:val="24"/>
          <w:szCs w:val="24"/>
          <w:lang w:val="es-CO" w:eastAsia="es-CO"/>
        </w:rPr>
        <w:t>La remisión del expediente a la dependencia competente para cobro jurídico.</w:t>
      </w:r>
    </w:p>
    <w:p w:rsidR="00435264" w:rsidRPr="00435264" w:rsidRDefault="00435264" w:rsidP="00435264">
      <w:pPr>
        <w:widowControl/>
        <w:numPr>
          <w:ilvl w:val="0"/>
          <w:numId w:val="5"/>
        </w:numPr>
        <w:tabs>
          <w:tab w:val="clear" w:pos="720"/>
          <w:tab w:val="num" w:pos="982"/>
        </w:tabs>
        <w:autoSpaceDE/>
        <w:autoSpaceDN/>
        <w:spacing w:before="100" w:beforeAutospacing="1" w:after="100" w:afterAutospacing="1"/>
        <w:ind w:left="98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435264">
        <w:rPr>
          <w:rFonts w:ascii="Arial" w:eastAsia="Times New Roman" w:hAnsi="Arial" w:cs="Arial"/>
          <w:sz w:val="24"/>
          <w:szCs w:val="24"/>
          <w:lang w:val="es-CO" w:eastAsia="es-CO"/>
        </w:rPr>
        <w:t xml:space="preserve">La terminación de la obligación por cualquier causal legalmente procedente. </w:t>
      </w:r>
    </w:p>
    <w:p w:rsidR="00435264" w:rsidRPr="00435264" w:rsidRDefault="00435264" w:rsidP="00435264">
      <w:pPr>
        <w:widowControl/>
        <w:autoSpaceDE/>
        <w:autoSpaceDN/>
        <w:spacing w:before="100" w:beforeAutospacing="1" w:after="100" w:afterAutospacing="1"/>
        <w:ind w:left="26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435264">
        <w:rPr>
          <w:rFonts w:ascii="Arial" w:eastAsia="Times New Roman" w:hAnsi="Arial" w:cs="Arial"/>
          <w:sz w:val="24"/>
          <w:szCs w:val="24"/>
          <w:lang w:val="es-CO" w:eastAsia="es-CO"/>
        </w:rPr>
        <w:t>Aplica a:</w:t>
      </w:r>
    </w:p>
    <w:p w:rsidR="00435264" w:rsidRPr="00435264" w:rsidRDefault="00435264" w:rsidP="00435264">
      <w:pPr>
        <w:widowControl/>
        <w:numPr>
          <w:ilvl w:val="0"/>
          <w:numId w:val="6"/>
        </w:numPr>
        <w:tabs>
          <w:tab w:val="clear" w:pos="720"/>
          <w:tab w:val="num" w:pos="982"/>
        </w:tabs>
        <w:autoSpaceDE/>
        <w:autoSpaceDN/>
        <w:spacing w:before="100" w:beforeAutospacing="1" w:after="100" w:afterAutospacing="1"/>
        <w:ind w:left="98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435264">
        <w:rPr>
          <w:rFonts w:ascii="Arial" w:eastAsia="Times New Roman" w:hAnsi="Arial" w:cs="Arial"/>
          <w:sz w:val="24"/>
          <w:szCs w:val="24"/>
          <w:lang w:val="es-CO" w:eastAsia="es-CO"/>
        </w:rPr>
        <w:t xml:space="preserve">Obligaciones derivadas de tarifas de uso administrativo. </w:t>
      </w:r>
    </w:p>
    <w:p w:rsidR="00435264" w:rsidRPr="00435264" w:rsidRDefault="00435264" w:rsidP="00435264">
      <w:pPr>
        <w:widowControl/>
        <w:numPr>
          <w:ilvl w:val="0"/>
          <w:numId w:val="6"/>
        </w:numPr>
        <w:tabs>
          <w:tab w:val="clear" w:pos="720"/>
          <w:tab w:val="num" w:pos="982"/>
        </w:tabs>
        <w:autoSpaceDE/>
        <w:autoSpaceDN/>
        <w:spacing w:before="100" w:beforeAutospacing="1" w:after="100" w:afterAutospacing="1"/>
        <w:ind w:left="98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435264">
        <w:rPr>
          <w:rFonts w:ascii="Arial" w:eastAsia="Times New Roman" w:hAnsi="Arial" w:cs="Arial"/>
          <w:sz w:val="24"/>
          <w:szCs w:val="24"/>
          <w:lang w:val="es-CO" w:eastAsia="es-CO"/>
        </w:rPr>
        <w:t xml:space="preserve">Arrendamientos de bienes administrados por INFIBAGUÉ. </w:t>
      </w:r>
    </w:p>
    <w:p w:rsidR="00435264" w:rsidRPr="00BA3632" w:rsidRDefault="00435264" w:rsidP="00435264">
      <w:pPr>
        <w:widowControl/>
        <w:numPr>
          <w:ilvl w:val="0"/>
          <w:numId w:val="6"/>
        </w:numPr>
        <w:tabs>
          <w:tab w:val="clear" w:pos="720"/>
          <w:tab w:val="num" w:pos="982"/>
        </w:tabs>
        <w:autoSpaceDE/>
        <w:autoSpaceDN/>
        <w:spacing w:before="100" w:beforeAutospacing="1" w:after="100" w:afterAutospacing="1"/>
        <w:ind w:left="98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435264">
        <w:rPr>
          <w:rFonts w:ascii="Arial" w:eastAsia="Times New Roman" w:hAnsi="Arial" w:cs="Arial"/>
          <w:sz w:val="24"/>
          <w:szCs w:val="24"/>
          <w:lang w:val="es-CO" w:eastAsia="es-CO"/>
        </w:rPr>
        <w:t xml:space="preserve">Impuesto de Alumbrado Público. </w:t>
      </w:r>
    </w:p>
    <w:p w:rsidR="007A5B2D" w:rsidRPr="00435264" w:rsidRDefault="007A5B2D" w:rsidP="00435264">
      <w:pPr>
        <w:widowControl/>
        <w:numPr>
          <w:ilvl w:val="0"/>
          <w:numId w:val="6"/>
        </w:numPr>
        <w:tabs>
          <w:tab w:val="clear" w:pos="720"/>
          <w:tab w:val="num" w:pos="982"/>
        </w:tabs>
        <w:autoSpaceDE/>
        <w:autoSpaceDN/>
        <w:spacing w:before="100" w:beforeAutospacing="1" w:after="100" w:afterAutospacing="1"/>
        <w:ind w:left="98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BA3632">
        <w:rPr>
          <w:rFonts w:ascii="Arial" w:eastAsia="Times New Roman" w:hAnsi="Arial" w:cs="Arial"/>
          <w:sz w:val="24"/>
          <w:szCs w:val="24"/>
          <w:lang w:val="es-CO" w:eastAsia="es-CO"/>
        </w:rPr>
        <w:t>Obligaciones derivadas de contratos y operaciones financieras</w:t>
      </w:r>
    </w:p>
    <w:p w:rsidR="00435264" w:rsidRPr="00435264" w:rsidRDefault="00435264" w:rsidP="00435264">
      <w:pPr>
        <w:widowControl/>
        <w:numPr>
          <w:ilvl w:val="0"/>
          <w:numId w:val="6"/>
        </w:numPr>
        <w:tabs>
          <w:tab w:val="clear" w:pos="720"/>
          <w:tab w:val="num" w:pos="982"/>
        </w:tabs>
        <w:autoSpaceDE/>
        <w:autoSpaceDN/>
        <w:spacing w:before="100" w:beforeAutospacing="1" w:after="100" w:afterAutospacing="1"/>
        <w:ind w:left="982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435264">
        <w:rPr>
          <w:rFonts w:ascii="Arial" w:eastAsia="Times New Roman" w:hAnsi="Arial" w:cs="Arial"/>
          <w:sz w:val="24"/>
          <w:szCs w:val="24"/>
          <w:lang w:val="es-CO" w:eastAsia="es-CO"/>
        </w:rPr>
        <w:t>Demás acreencias que administre INFIBAGUÉ.</w:t>
      </w:r>
    </w:p>
    <w:p w:rsidR="002253FC" w:rsidRPr="00BA3632" w:rsidRDefault="002253FC">
      <w:pPr>
        <w:pStyle w:val="Textoindependiente"/>
        <w:spacing w:before="36"/>
        <w:rPr>
          <w:rFonts w:ascii="Arial" w:hAnsi="Arial" w:cs="Arial"/>
          <w:sz w:val="24"/>
          <w:szCs w:val="24"/>
        </w:rPr>
      </w:pPr>
    </w:p>
    <w:p w:rsidR="002253FC" w:rsidRPr="00BA3632" w:rsidRDefault="008D2B2B">
      <w:pPr>
        <w:pStyle w:val="Ttulo1"/>
        <w:numPr>
          <w:ilvl w:val="0"/>
          <w:numId w:val="3"/>
        </w:numPr>
        <w:tabs>
          <w:tab w:val="left" w:pos="693"/>
          <w:tab w:val="left" w:pos="9697"/>
        </w:tabs>
        <w:spacing w:before="1"/>
        <w:ind w:left="693" w:hanging="431"/>
        <w:rPr>
          <w:sz w:val="24"/>
          <w:szCs w:val="24"/>
        </w:rPr>
      </w:pPr>
      <w:r w:rsidRPr="00BA3632">
        <w:rPr>
          <w:color w:val="000000"/>
          <w:spacing w:val="-2"/>
          <w:sz w:val="24"/>
          <w:szCs w:val="24"/>
          <w:shd w:val="clear" w:color="auto" w:fill="BEBEBE"/>
        </w:rPr>
        <w:t>DEFINICIONES</w:t>
      </w:r>
      <w:r w:rsidRPr="00BA3632">
        <w:rPr>
          <w:color w:val="000000"/>
          <w:sz w:val="24"/>
          <w:szCs w:val="24"/>
          <w:shd w:val="clear" w:color="auto" w:fill="BEBEBE"/>
        </w:rPr>
        <w:tab/>
      </w:r>
    </w:p>
    <w:p w:rsidR="002253FC" w:rsidRPr="00BA3632" w:rsidRDefault="002253FC">
      <w:pPr>
        <w:pStyle w:val="Textoindependiente"/>
        <w:spacing w:before="70"/>
        <w:rPr>
          <w:rFonts w:ascii="Arial" w:hAnsi="Arial" w:cs="Arial"/>
          <w:b/>
          <w:sz w:val="24"/>
          <w:szCs w:val="24"/>
        </w:rPr>
      </w:pPr>
    </w:p>
    <w:p w:rsidR="00435264" w:rsidRPr="00BA3632" w:rsidRDefault="00435264" w:rsidP="00F445F6">
      <w:pPr>
        <w:pStyle w:val="Prrafodelista"/>
        <w:numPr>
          <w:ilvl w:val="0"/>
          <w:numId w:val="7"/>
        </w:numPr>
        <w:spacing w:line="242" w:lineRule="auto"/>
        <w:ind w:left="284" w:firstLine="16"/>
        <w:jc w:val="both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b/>
          <w:sz w:val="24"/>
          <w:szCs w:val="24"/>
        </w:rPr>
        <w:t>Acuerdo de Pago:</w:t>
      </w:r>
      <w:r w:rsidRPr="00BA3632">
        <w:rPr>
          <w:rFonts w:ascii="Arial" w:hAnsi="Arial" w:cs="Arial"/>
          <w:sz w:val="24"/>
          <w:szCs w:val="24"/>
        </w:rPr>
        <w:t xml:space="preserve"> Facilidad otorgada al deudor para cancelar una obligación mediante pagos parciales dentro de un plazo determinado.</w:t>
      </w:r>
    </w:p>
    <w:p w:rsidR="00435264" w:rsidRPr="00BA3632" w:rsidRDefault="00435264" w:rsidP="00435264">
      <w:pPr>
        <w:pStyle w:val="Prrafodelista"/>
        <w:spacing w:line="242" w:lineRule="auto"/>
        <w:ind w:left="300" w:firstLine="0"/>
        <w:jc w:val="both"/>
        <w:rPr>
          <w:rFonts w:ascii="Arial" w:hAnsi="Arial" w:cs="Arial"/>
          <w:sz w:val="24"/>
          <w:szCs w:val="24"/>
        </w:rPr>
      </w:pPr>
    </w:p>
    <w:p w:rsidR="00435264" w:rsidRPr="00BA3632" w:rsidRDefault="00435264" w:rsidP="00435264">
      <w:pPr>
        <w:pStyle w:val="Prrafodelista"/>
        <w:numPr>
          <w:ilvl w:val="0"/>
          <w:numId w:val="7"/>
        </w:numPr>
        <w:spacing w:line="242" w:lineRule="auto"/>
        <w:ind w:left="284" w:firstLine="16"/>
        <w:jc w:val="both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b/>
          <w:sz w:val="24"/>
          <w:szCs w:val="24"/>
        </w:rPr>
        <w:t>Cobro Persuasivo:</w:t>
      </w:r>
      <w:r w:rsidRPr="00BA3632">
        <w:rPr>
          <w:rFonts w:ascii="Arial" w:hAnsi="Arial" w:cs="Arial"/>
          <w:sz w:val="24"/>
          <w:szCs w:val="24"/>
        </w:rPr>
        <w:t xml:space="preserve"> Conjunto de actuaciones adelantadas por INFIBAGUÉ con el propósito de obtener el pago voluntario de una obligación antes del inicio del cobro coactivo.</w:t>
      </w:r>
    </w:p>
    <w:p w:rsidR="00435264" w:rsidRPr="00BA3632" w:rsidRDefault="00435264" w:rsidP="00435264">
      <w:pPr>
        <w:spacing w:line="242" w:lineRule="auto"/>
        <w:jc w:val="both"/>
        <w:rPr>
          <w:rFonts w:ascii="Arial" w:hAnsi="Arial" w:cs="Arial"/>
          <w:sz w:val="24"/>
          <w:szCs w:val="24"/>
        </w:rPr>
      </w:pPr>
    </w:p>
    <w:p w:rsidR="00435264" w:rsidRPr="00BA3632" w:rsidRDefault="00435264" w:rsidP="00991E17">
      <w:pPr>
        <w:pStyle w:val="Prrafodelista"/>
        <w:numPr>
          <w:ilvl w:val="0"/>
          <w:numId w:val="7"/>
        </w:numPr>
        <w:spacing w:line="242" w:lineRule="auto"/>
        <w:ind w:left="284" w:firstLine="16"/>
        <w:jc w:val="both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b/>
          <w:sz w:val="24"/>
          <w:szCs w:val="24"/>
        </w:rPr>
        <w:t>Cobro Coactivo:</w:t>
      </w:r>
      <w:r w:rsidRPr="00BA3632">
        <w:rPr>
          <w:rFonts w:ascii="Arial" w:hAnsi="Arial" w:cs="Arial"/>
          <w:sz w:val="24"/>
          <w:szCs w:val="24"/>
        </w:rPr>
        <w:t xml:space="preserve"> Procedimiento administrativo especial mediante el cual se hace efectiva una obligación clara, expresa y exigible a favor de una entidad pública.</w:t>
      </w:r>
    </w:p>
    <w:p w:rsidR="00435264" w:rsidRPr="00BA3632" w:rsidRDefault="00435264" w:rsidP="00435264">
      <w:pPr>
        <w:spacing w:line="242" w:lineRule="auto"/>
        <w:jc w:val="both"/>
        <w:rPr>
          <w:rFonts w:ascii="Arial" w:hAnsi="Arial" w:cs="Arial"/>
          <w:sz w:val="24"/>
          <w:szCs w:val="24"/>
        </w:rPr>
      </w:pPr>
    </w:p>
    <w:p w:rsidR="00435264" w:rsidRPr="00BA3632" w:rsidRDefault="00435264" w:rsidP="004B2A9B">
      <w:pPr>
        <w:pStyle w:val="Prrafodelista"/>
        <w:numPr>
          <w:ilvl w:val="0"/>
          <w:numId w:val="7"/>
        </w:numPr>
        <w:spacing w:line="242" w:lineRule="auto"/>
        <w:ind w:left="284" w:firstLine="16"/>
        <w:jc w:val="both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b/>
          <w:sz w:val="24"/>
          <w:szCs w:val="24"/>
        </w:rPr>
        <w:t>Cartera:</w:t>
      </w:r>
      <w:r w:rsidRPr="00BA3632">
        <w:rPr>
          <w:rFonts w:ascii="Arial" w:hAnsi="Arial" w:cs="Arial"/>
          <w:sz w:val="24"/>
          <w:szCs w:val="24"/>
        </w:rPr>
        <w:t xml:space="preserve"> Conjunto de derechos de contenido económico a favor de INFIBAGUÉ.</w:t>
      </w:r>
    </w:p>
    <w:p w:rsidR="00435264" w:rsidRPr="00BA3632" w:rsidRDefault="00435264" w:rsidP="00435264">
      <w:pPr>
        <w:spacing w:line="242" w:lineRule="auto"/>
        <w:jc w:val="both"/>
        <w:rPr>
          <w:rFonts w:ascii="Arial" w:hAnsi="Arial" w:cs="Arial"/>
          <w:sz w:val="24"/>
          <w:szCs w:val="24"/>
        </w:rPr>
      </w:pPr>
    </w:p>
    <w:p w:rsidR="00435264" w:rsidRPr="00BA3632" w:rsidRDefault="00435264" w:rsidP="002E29D3">
      <w:pPr>
        <w:pStyle w:val="Prrafodelista"/>
        <w:numPr>
          <w:ilvl w:val="0"/>
          <w:numId w:val="7"/>
        </w:numPr>
        <w:spacing w:line="242" w:lineRule="auto"/>
        <w:ind w:left="284" w:firstLine="16"/>
        <w:jc w:val="both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b/>
          <w:sz w:val="24"/>
          <w:szCs w:val="24"/>
        </w:rPr>
        <w:t>Cartera Tributaria:</w:t>
      </w:r>
      <w:r w:rsidRPr="00BA3632">
        <w:rPr>
          <w:rFonts w:ascii="Arial" w:hAnsi="Arial" w:cs="Arial"/>
          <w:sz w:val="24"/>
          <w:szCs w:val="24"/>
        </w:rPr>
        <w:t xml:space="preserve"> Corresponde a las obligaciones derivadas del Impuesto de Alumbrado Público.</w:t>
      </w:r>
    </w:p>
    <w:p w:rsidR="00435264" w:rsidRPr="00BA3632" w:rsidRDefault="00435264" w:rsidP="00435264">
      <w:pPr>
        <w:spacing w:line="242" w:lineRule="auto"/>
        <w:jc w:val="both"/>
        <w:rPr>
          <w:rFonts w:ascii="Arial" w:hAnsi="Arial" w:cs="Arial"/>
          <w:sz w:val="24"/>
          <w:szCs w:val="24"/>
        </w:rPr>
      </w:pPr>
    </w:p>
    <w:p w:rsidR="00435264" w:rsidRPr="00BA3632" w:rsidRDefault="00435264" w:rsidP="00AF5913">
      <w:pPr>
        <w:pStyle w:val="Prrafodelista"/>
        <w:numPr>
          <w:ilvl w:val="0"/>
          <w:numId w:val="7"/>
        </w:numPr>
        <w:spacing w:line="242" w:lineRule="auto"/>
        <w:ind w:left="284" w:firstLine="16"/>
        <w:jc w:val="both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b/>
          <w:sz w:val="24"/>
          <w:szCs w:val="24"/>
        </w:rPr>
        <w:t>Cartera No Tributaria:</w:t>
      </w:r>
      <w:r w:rsidRPr="00BA3632">
        <w:rPr>
          <w:rFonts w:ascii="Arial" w:hAnsi="Arial" w:cs="Arial"/>
          <w:sz w:val="24"/>
          <w:szCs w:val="24"/>
        </w:rPr>
        <w:t xml:space="preserve"> Corresponde a las obligaciones derivadas de arrendamientos, </w:t>
      </w:r>
      <w:r w:rsidRPr="00BA3632">
        <w:rPr>
          <w:rFonts w:ascii="Arial" w:hAnsi="Arial" w:cs="Arial"/>
          <w:sz w:val="24"/>
          <w:szCs w:val="24"/>
        </w:rPr>
        <w:lastRenderedPageBreak/>
        <w:t>tarifas de uso administrativo, contratos y demás acreencias no tributarias.</w:t>
      </w:r>
    </w:p>
    <w:p w:rsidR="00435264" w:rsidRPr="00BA3632" w:rsidRDefault="00435264" w:rsidP="00435264">
      <w:pPr>
        <w:spacing w:line="242" w:lineRule="auto"/>
        <w:jc w:val="both"/>
        <w:rPr>
          <w:rFonts w:ascii="Arial" w:hAnsi="Arial" w:cs="Arial"/>
          <w:sz w:val="24"/>
          <w:szCs w:val="24"/>
        </w:rPr>
      </w:pPr>
    </w:p>
    <w:p w:rsidR="00435264" w:rsidRPr="00BA3632" w:rsidRDefault="00435264" w:rsidP="00D6227C">
      <w:pPr>
        <w:pStyle w:val="Prrafodelista"/>
        <w:numPr>
          <w:ilvl w:val="0"/>
          <w:numId w:val="7"/>
        </w:numPr>
        <w:spacing w:line="242" w:lineRule="auto"/>
        <w:ind w:left="284" w:firstLine="16"/>
        <w:jc w:val="both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b/>
          <w:sz w:val="24"/>
          <w:szCs w:val="24"/>
        </w:rPr>
        <w:t>Cartera Crediticia:</w:t>
      </w:r>
      <w:r w:rsidRPr="00BA3632">
        <w:rPr>
          <w:rFonts w:ascii="Arial" w:hAnsi="Arial" w:cs="Arial"/>
          <w:sz w:val="24"/>
          <w:szCs w:val="24"/>
        </w:rPr>
        <w:t xml:space="preserve"> Corresponde a las obligaciones derivadas de operaciones financieras y créditos otorgados por INFIBAGUÉ.</w:t>
      </w:r>
    </w:p>
    <w:p w:rsidR="00435264" w:rsidRPr="00BA3632" w:rsidRDefault="00435264" w:rsidP="00435264">
      <w:pPr>
        <w:spacing w:line="242" w:lineRule="auto"/>
        <w:jc w:val="both"/>
        <w:rPr>
          <w:rFonts w:ascii="Arial" w:hAnsi="Arial" w:cs="Arial"/>
          <w:sz w:val="24"/>
          <w:szCs w:val="24"/>
        </w:rPr>
      </w:pPr>
    </w:p>
    <w:p w:rsidR="00435264" w:rsidRPr="00BA3632" w:rsidRDefault="00435264" w:rsidP="008B5364">
      <w:pPr>
        <w:pStyle w:val="Prrafodelista"/>
        <w:numPr>
          <w:ilvl w:val="0"/>
          <w:numId w:val="7"/>
        </w:numPr>
        <w:spacing w:line="242" w:lineRule="auto"/>
        <w:ind w:left="284" w:firstLine="16"/>
        <w:jc w:val="both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b/>
          <w:sz w:val="24"/>
          <w:szCs w:val="24"/>
        </w:rPr>
        <w:t>Gestión Preventiva:</w:t>
      </w:r>
      <w:r w:rsidRPr="00BA3632">
        <w:rPr>
          <w:rFonts w:ascii="Arial" w:hAnsi="Arial" w:cs="Arial"/>
          <w:sz w:val="24"/>
          <w:szCs w:val="24"/>
        </w:rPr>
        <w:t xml:space="preserve"> Actividades orientadas a promover el pago oportuno de las obligaciones y evitar la constitución de mora.</w:t>
      </w:r>
    </w:p>
    <w:p w:rsidR="00435264" w:rsidRPr="00BA3632" w:rsidRDefault="00435264" w:rsidP="00435264">
      <w:pPr>
        <w:spacing w:line="242" w:lineRule="auto"/>
        <w:jc w:val="both"/>
        <w:rPr>
          <w:rFonts w:ascii="Arial" w:hAnsi="Arial" w:cs="Arial"/>
          <w:sz w:val="24"/>
          <w:szCs w:val="24"/>
        </w:rPr>
      </w:pPr>
    </w:p>
    <w:p w:rsidR="00E92E90" w:rsidRPr="00BA3632" w:rsidRDefault="00435264" w:rsidP="00E92E90">
      <w:pPr>
        <w:pStyle w:val="Prrafodelista"/>
        <w:numPr>
          <w:ilvl w:val="0"/>
          <w:numId w:val="7"/>
        </w:numPr>
        <w:spacing w:line="242" w:lineRule="auto"/>
        <w:ind w:left="284" w:firstLine="16"/>
        <w:jc w:val="both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b/>
          <w:sz w:val="24"/>
          <w:szCs w:val="24"/>
        </w:rPr>
        <w:t>Normalización de Cartera:</w:t>
      </w:r>
      <w:r w:rsidRPr="00BA3632">
        <w:rPr>
          <w:rFonts w:ascii="Arial" w:hAnsi="Arial" w:cs="Arial"/>
          <w:sz w:val="24"/>
          <w:szCs w:val="24"/>
        </w:rPr>
        <w:t xml:space="preserve"> Conjunto de mecanismos destinados a restablecer el cumplimiento de las obligaciones, tales como acuerdos de pago, reestructuraciones, prórrogas y daciones en pago.</w:t>
      </w:r>
    </w:p>
    <w:p w:rsidR="00E92E90" w:rsidRPr="00BA3632" w:rsidRDefault="00E92E90" w:rsidP="00E92E90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E92E90" w:rsidRPr="00BA3632" w:rsidRDefault="00E92E90" w:rsidP="00E92E90">
      <w:pPr>
        <w:pStyle w:val="Prrafodelista"/>
        <w:numPr>
          <w:ilvl w:val="0"/>
          <w:numId w:val="7"/>
        </w:numPr>
        <w:spacing w:line="242" w:lineRule="auto"/>
        <w:ind w:left="284" w:firstLine="16"/>
        <w:jc w:val="both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b/>
          <w:sz w:val="24"/>
          <w:szCs w:val="24"/>
        </w:rPr>
        <w:t xml:space="preserve">SARC: </w:t>
      </w:r>
      <w:r w:rsidRPr="00BA3632">
        <w:rPr>
          <w:rFonts w:ascii="Arial" w:hAnsi="Arial" w:cs="Arial"/>
          <w:sz w:val="24"/>
          <w:szCs w:val="24"/>
        </w:rPr>
        <w:t>Sistema de Administración del Riesgo de Crédito adoptado por INFIBAGUÉ.</w:t>
      </w:r>
    </w:p>
    <w:p w:rsidR="00435264" w:rsidRPr="00BA3632" w:rsidRDefault="00435264" w:rsidP="00435264">
      <w:pPr>
        <w:pStyle w:val="Prrafodelista"/>
        <w:rPr>
          <w:rFonts w:ascii="Arial" w:hAnsi="Arial" w:cs="Arial"/>
          <w:sz w:val="24"/>
          <w:szCs w:val="24"/>
        </w:rPr>
      </w:pPr>
    </w:p>
    <w:p w:rsidR="002253FC" w:rsidRPr="00BA3632" w:rsidRDefault="002253FC">
      <w:pPr>
        <w:pStyle w:val="Textoindependiente"/>
        <w:spacing w:before="96"/>
        <w:rPr>
          <w:rFonts w:ascii="Arial" w:hAnsi="Arial" w:cs="Arial"/>
          <w:sz w:val="24"/>
          <w:szCs w:val="24"/>
        </w:rPr>
      </w:pPr>
    </w:p>
    <w:p w:rsidR="002253FC" w:rsidRPr="00BA3632" w:rsidRDefault="008D2B2B">
      <w:pPr>
        <w:pStyle w:val="Ttulo1"/>
        <w:numPr>
          <w:ilvl w:val="0"/>
          <w:numId w:val="3"/>
        </w:numPr>
        <w:tabs>
          <w:tab w:val="left" w:pos="693"/>
          <w:tab w:val="left" w:pos="9697"/>
        </w:tabs>
        <w:spacing w:before="1"/>
        <w:ind w:left="693" w:hanging="431"/>
        <w:rPr>
          <w:sz w:val="24"/>
          <w:szCs w:val="24"/>
        </w:rPr>
      </w:pPr>
      <w:r w:rsidRPr="00BA3632">
        <w:rPr>
          <w:color w:val="000000"/>
          <w:spacing w:val="-2"/>
          <w:sz w:val="24"/>
          <w:szCs w:val="24"/>
          <w:shd w:val="clear" w:color="auto" w:fill="BEBEBE"/>
        </w:rPr>
        <w:t>RESPONSABILIDAD</w:t>
      </w:r>
      <w:r w:rsidRPr="00BA3632">
        <w:rPr>
          <w:color w:val="000000"/>
          <w:sz w:val="24"/>
          <w:szCs w:val="24"/>
          <w:shd w:val="clear" w:color="auto" w:fill="BEBEBE"/>
        </w:rPr>
        <w:tab/>
      </w:r>
    </w:p>
    <w:p w:rsidR="002253FC" w:rsidRPr="00BA3632" w:rsidRDefault="002253FC">
      <w:pPr>
        <w:pStyle w:val="Textoindependiente"/>
        <w:spacing w:before="72"/>
        <w:rPr>
          <w:rFonts w:ascii="Arial" w:hAnsi="Arial" w:cs="Arial"/>
          <w:b/>
          <w:sz w:val="24"/>
          <w:szCs w:val="24"/>
        </w:rPr>
      </w:pPr>
    </w:p>
    <w:p w:rsidR="00435264" w:rsidRPr="00BA3632" w:rsidRDefault="00435264" w:rsidP="007A5B2D">
      <w:pPr>
        <w:pStyle w:val="Ttulo2"/>
        <w:ind w:left="262"/>
        <w:jc w:val="both"/>
        <w:rPr>
          <w:rFonts w:ascii="Arial" w:eastAsia="Times New Roman" w:hAnsi="Arial" w:cs="Arial"/>
          <w:b/>
          <w:color w:val="auto"/>
          <w:sz w:val="24"/>
          <w:szCs w:val="24"/>
          <w:lang w:val="es-CO"/>
        </w:rPr>
      </w:pPr>
      <w:r w:rsidRPr="00BA3632">
        <w:rPr>
          <w:rFonts w:ascii="Arial" w:hAnsi="Arial" w:cs="Arial"/>
          <w:b/>
          <w:color w:val="auto"/>
          <w:sz w:val="24"/>
          <w:szCs w:val="24"/>
        </w:rPr>
        <w:t>Grupo de Gestión de Cartera y Cobranza</w:t>
      </w:r>
    </w:p>
    <w:p w:rsidR="00435264" w:rsidRPr="00BA3632" w:rsidRDefault="00435264" w:rsidP="007A5B2D">
      <w:pPr>
        <w:widowControl/>
        <w:numPr>
          <w:ilvl w:val="0"/>
          <w:numId w:val="8"/>
        </w:numPr>
        <w:tabs>
          <w:tab w:val="clear" w:pos="720"/>
          <w:tab w:val="num" w:pos="982"/>
        </w:tabs>
        <w:autoSpaceDE/>
        <w:autoSpaceDN/>
        <w:spacing w:before="100" w:beforeAutospacing="1" w:after="100" w:afterAutospacing="1"/>
        <w:ind w:left="982"/>
        <w:jc w:val="both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sz w:val="24"/>
          <w:szCs w:val="24"/>
        </w:rPr>
        <w:t xml:space="preserve">Identificar obligaciones vencidas. </w:t>
      </w:r>
    </w:p>
    <w:p w:rsidR="00435264" w:rsidRPr="00BA3632" w:rsidRDefault="00435264" w:rsidP="007A5B2D">
      <w:pPr>
        <w:widowControl/>
        <w:numPr>
          <w:ilvl w:val="0"/>
          <w:numId w:val="8"/>
        </w:numPr>
        <w:tabs>
          <w:tab w:val="clear" w:pos="720"/>
          <w:tab w:val="num" w:pos="982"/>
        </w:tabs>
        <w:autoSpaceDE/>
        <w:autoSpaceDN/>
        <w:spacing w:before="100" w:beforeAutospacing="1" w:after="100" w:afterAutospacing="1"/>
        <w:ind w:left="982"/>
        <w:jc w:val="both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sz w:val="24"/>
          <w:szCs w:val="24"/>
        </w:rPr>
        <w:t xml:space="preserve">Adelantar gestión persuasiva. </w:t>
      </w:r>
    </w:p>
    <w:p w:rsidR="00435264" w:rsidRPr="00BA3632" w:rsidRDefault="00E92E90" w:rsidP="007A5B2D">
      <w:pPr>
        <w:widowControl/>
        <w:numPr>
          <w:ilvl w:val="0"/>
          <w:numId w:val="8"/>
        </w:numPr>
        <w:tabs>
          <w:tab w:val="clear" w:pos="720"/>
          <w:tab w:val="num" w:pos="982"/>
        </w:tabs>
        <w:autoSpaceDE/>
        <w:autoSpaceDN/>
        <w:spacing w:before="100" w:beforeAutospacing="1" w:after="100" w:afterAutospacing="1"/>
        <w:ind w:left="982"/>
        <w:jc w:val="both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sz w:val="24"/>
          <w:szCs w:val="24"/>
        </w:rPr>
        <w:t>Administración de</w:t>
      </w:r>
      <w:r w:rsidR="00435264" w:rsidRPr="00BA3632">
        <w:rPr>
          <w:rFonts w:ascii="Arial" w:hAnsi="Arial" w:cs="Arial"/>
          <w:sz w:val="24"/>
          <w:szCs w:val="24"/>
        </w:rPr>
        <w:t xml:space="preserve"> acuerdos de pago. </w:t>
      </w:r>
    </w:p>
    <w:p w:rsidR="00435264" w:rsidRPr="00BA3632" w:rsidRDefault="00E92E90" w:rsidP="007A5B2D">
      <w:pPr>
        <w:widowControl/>
        <w:numPr>
          <w:ilvl w:val="0"/>
          <w:numId w:val="8"/>
        </w:numPr>
        <w:tabs>
          <w:tab w:val="clear" w:pos="720"/>
          <w:tab w:val="num" w:pos="982"/>
        </w:tabs>
        <w:autoSpaceDE/>
        <w:autoSpaceDN/>
        <w:spacing w:before="100" w:beforeAutospacing="1" w:after="100" w:afterAutospacing="1"/>
        <w:ind w:left="982"/>
        <w:jc w:val="both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sz w:val="24"/>
          <w:szCs w:val="24"/>
        </w:rPr>
        <w:t>Conformación de</w:t>
      </w:r>
      <w:r w:rsidR="00435264" w:rsidRPr="00BA3632">
        <w:rPr>
          <w:rFonts w:ascii="Arial" w:hAnsi="Arial" w:cs="Arial"/>
          <w:sz w:val="24"/>
          <w:szCs w:val="24"/>
        </w:rPr>
        <w:t xml:space="preserve"> expedientes. </w:t>
      </w:r>
    </w:p>
    <w:p w:rsidR="00435264" w:rsidRPr="00BA3632" w:rsidRDefault="00435264" w:rsidP="007A5B2D">
      <w:pPr>
        <w:widowControl/>
        <w:numPr>
          <w:ilvl w:val="0"/>
          <w:numId w:val="8"/>
        </w:numPr>
        <w:tabs>
          <w:tab w:val="clear" w:pos="720"/>
          <w:tab w:val="num" w:pos="982"/>
        </w:tabs>
        <w:autoSpaceDE/>
        <w:autoSpaceDN/>
        <w:spacing w:before="100" w:beforeAutospacing="1" w:after="100" w:afterAutospacing="1"/>
        <w:ind w:left="982"/>
        <w:jc w:val="both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sz w:val="24"/>
          <w:szCs w:val="24"/>
        </w:rPr>
        <w:t xml:space="preserve">Realizar seguimiento a la cartera. </w:t>
      </w:r>
    </w:p>
    <w:p w:rsidR="00435264" w:rsidRPr="00BA3632" w:rsidRDefault="00435264" w:rsidP="007A5B2D">
      <w:pPr>
        <w:pStyle w:val="Ttulo2"/>
        <w:ind w:left="262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BA3632">
        <w:rPr>
          <w:rFonts w:ascii="Arial" w:hAnsi="Arial" w:cs="Arial"/>
          <w:b/>
          <w:color w:val="auto"/>
          <w:sz w:val="24"/>
          <w:szCs w:val="24"/>
        </w:rPr>
        <w:t>Dirección Financiera</w:t>
      </w:r>
    </w:p>
    <w:p w:rsidR="00E92E90" w:rsidRPr="00BA3632" w:rsidRDefault="00E92E90" w:rsidP="00E92E90">
      <w:pPr>
        <w:rPr>
          <w:rFonts w:ascii="Arial" w:hAnsi="Arial" w:cs="Arial"/>
          <w:sz w:val="24"/>
          <w:szCs w:val="24"/>
        </w:rPr>
      </w:pPr>
    </w:p>
    <w:p w:rsidR="00E92E90" w:rsidRPr="00BA3632" w:rsidRDefault="00E92E90" w:rsidP="00E92E90">
      <w:pPr>
        <w:pStyle w:val="Ttulo2"/>
        <w:numPr>
          <w:ilvl w:val="0"/>
          <w:numId w:val="14"/>
        </w:numPr>
        <w:jc w:val="both"/>
        <w:rPr>
          <w:rFonts w:ascii="Arial" w:eastAsia="Arial MT" w:hAnsi="Arial" w:cs="Arial"/>
          <w:color w:val="auto"/>
          <w:sz w:val="24"/>
          <w:szCs w:val="24"/>
        </w:rPr>
      </w:pPr>
      <w:r w:rsidRPr="00BA3632">
        <w:rPr>
          <w:rFonts w:ascii="Arial" w:eastAsia="Arial MT" w:hAnsi="Arial" w:cs="Arial"/>
          <w:color w:val="auto"/>
          <w:sz w:val="24"/>
          <w:szCs w:val="24"/>
        </w:rPr>
        <w:t>Supervisión del procedimiento.</w:t>
      </w:r>
    </w:p>
    <w:p w:rsidR="00E92E90" w:rsidRPr="00BA3632" w:rsidRDefault="00E92E90" w:rsidP="00E92E90">
      <w:pPr>
        <w:pStyle w:val="Ttulo2"/>
        <w:numPr>
          <w:ilvl w:val="0"/>
          <w:numId w:val="14"/>
        </w:numPr>
        <w:jc w:val="both"/>
        <w:rPr>
          <w:rFonts w:ascii="Arial" w:eastAsia="Arial MT" w:hAnsi="Arial" w:cs="Arial"/>
          <w:color w:val="auto"/>
          <w:sz w:val="24"/>
          <w:szCs w:val="24"/>
        </w:rPr>
      </w:pPr>
      <w:r w:rsidRPr="00BA3632">
        <w:rPr>
          <w:rFonts w:ascii="Arial" w:eastAsia="Arial MT" w:hAnsi="Arial" w:cs="Arial"/>
          <w:color w:val="auto"/>
          <w:sz w:val="24"/>
          <w:szCs w:val="24"/>
        </w:rPr>
        <w:t>Seguimiento de indicadores.</w:t>
      </w:r>
    </w:p>
    <w:p w:rsidR="00E92E90" w:rsidRPr="00BA3632" w:rsidRDefault="00E92E90" w:rsidP="00E92E90">
      <w:pPr>
        <w:pStyle w:val="Ttulo2"/>
        <w:numPr>
          <w:ilvl w:val="0"/>
          <w:numId w:val="14"/>
        </w:numPr>
        <w:jc w:val="both"/>
        <w:rPr>
          <w:rFonts w:ascii="Arial" w:eastAsia="Arial MT" w:hAnsi="Arial" w:cs="Arial"/>
          <w:color w:val="auto"/>
          <w:sz w:val="24"/>
          <w:szCs w:val="24"/>
        </w:rPr>
      </w:pPr>
      <w:r w:rsidRPr="00BA3632">
        <w:rPr>
          <w:rFonts w:ascii="Arial" w:eastAsia="Arial MT" w:hAnsi="Arial" w:cs="Arial"/>
          <w:color w:val="auto"/>
          <w:sz w:val="24"/>
          <w:szCs w:val="24"/>
        </w:rPr>
        <w:t>Presentación de informes.</w:t>
      </w:r>
    </w:p>
    <w:p w:rsidR="007A5B2D" w:rsidRPr="00BA3632" w:rsidRDefault="00E92E90" w:rsidP="00E92E90">
      <w:pPr>
        <w:pStyle w:val="Ttulo2"/>
        <w:numPr>
          <w:ilvl w:val="0"/>
          <w:numId w:val="14"/>
        </w:numPr>
        <w:jc w:val="both"/>
        <w:rPr>
          <w:rFonts w:ascii="Arial" w:eastAsia="Arial MT" w:hAnsi="Arial" w:cs="Arial"/>
          <w:color w:val="auto"/>
          <w:sz w:val="24"/>
          <w:szCs w:val="24"/>
        </w:rPr>
      </w:pPr>
      <w:r w:rsidRPr="00BA3632">
        <w:rPr>
          <w:rFonts w:ascii="Arial" w:eastAsia="Arial MT" w:hAnsi="Arial" w:cs="Arial"/>
          <w:color w:val="auto"/>
          <w:sz w:val="24"/>
          <w:szCs w:val="24"/>
        </w:rPr>
        <w:t>Coordinación con el Comité de Cartera.</w:t>
      </w:r>
    </w:p>
    <w:p w:rsidR="00E92E90" w:rsidRPr="00BA3632" w:rsidRDefault="00E92E90" w:rsidP="00E92E90">
      <w:pPr>
        <w:rPr>
          <w:rFonts w:ascii="Arial" w:hAnsi="Arial" w:cs="Arial"/>
          <w:sz w:val="24"/>
          <w:szCs w:val="24"/>
        </w:rPr>
      </w:pPr>
    </w:p>
    <w:p w:rsidR="00435264" w:rsidRPr="00BA3632" w:rsidRDefault="00435264" w:rsidP="007A5B2D">
      <w:pPr>
        <w:pStyle w:val="Ttulo2"/>
        <w:ind w:left="262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BA3632">
        <w:rPr>
          <w:rFonts w:ascii="Arial" w:hAnsi="Arial" w:cs="Arial"/>
          <w:b/>
          <w:color w:val="auto"/>
          <w:sz w:val="24"/>
          <w:szCs w:val="24"/>
        </w:rPr>
        <w:t>Secretaría General</w:t>
      </w:r>
    </w:p>
    <w:p w:rsidR="00435264" w:rsidRPr="00BA3632" w:rsidRDefault="00435264" w:rsidP="007A5B2D">
      <w:pPr>
        <w:widowControl/>
        <w:numPr>
          <w:ilvl w:val="0"/>
          <w:numId w:val="10"/>
        </w:numPr>
        <w:tabs>
          <w:tab w:val="clear" w:pos="720"/>
          <w:tab w:val="num" w:pos="982"/>
        </w:tabs>
        <w:autoSpaceDE/>
        <w:autoSpaceDN/>
        <w:spacing w:before="100" w:beforeAutospacing="1" w:after="100" w:afterAutospacing="1"/>
        <w:ind w:left="982"/>
        <w:jc w:val="both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sz w:val="24"/>
          <w:szCs w:val="24"/>
        </w:rPr>
        <w:t xml:space="preserve">Adelantar el cobro </w:t>
      </w:r>
      <w:r w:rsidR="001662EA" w:rsidRPr="00BA3632">
        <w:rPr>
          <w:rFonts w:ascii="Arial" w:hAnsi="Arial" w:cs="Arial"/>
          <w:sz w:val="24"/>
          <w:szCs w:val="24"/>
        </w:rPr>
        <w:t>jurídico</w:t>
      </w:r>
      <w:r w:rsidRPr="00BA3632">
        <w:rPr>
          <w:rFonts w:ascii="Arial" w:hAnsi="Arial" w:cs="Arial"/>
          <w:sz w:val="24"/>
          <w:szCs w:val="24"/>
        </w:rPr>
        <w:t xml:space="preserve"> de las </w:t>
      </w:r>
      <w:r w:rsidR="001662EA" w:rsidRPr="00BA3632">
        <w:rPr>
          <w:rFonts w:ascii="Arial" w:hAnsi="Arial" w:cs="Arial"/>
          <w:sz w:val="24"/>
          <w:szCs w:val="24"/>
        </w:rPr>
        <w:t>obligaciones derivadas de contratos y operaciones financieras, los cuales se regirán de acuerdo a lo dispuesto en el Manual Del Sistema De Administración de Riesgos de Crédito (SARC)</w:t>
      </w:r>
      <w:r w:rsidRPr="00BA3632">
        <w:rPr>
          <w:rFonts w:ascii="Arial" w:hAnsi="Arial" w:cs="Arial"/>
          <w:sz w:val="24"/>
          <w:szCs w:val="24"/>
        </w:rPr>
        <w:t xml:space="preserve">. </w:t>
      </w:r>
    </w:p>
    <w:p w:rsidR="007A5B2D" w:rsidRPr="00BA3632" w:rsidRDefault="001662EA" w:rsidP="007A5B2D">
      <w:pPr>
        <w:widowControl/>
        <w:numPr>
          <w:ilvl w:val="0"/>
          <w:numId w:val="10"/>
        </w:numPr>
        <w:tabs>
          <w:tab w:val="clear" w:pos="720"/>
          <w:tab w:val="num" w:pos="982"/>
        </w:tabs>
        <w:autoSpaceDE/>
        <w:autoSpaceDN/>
        <w:spacing w:before="100" w:beforeAutospacing="1" w:after="100" w:afterAutospacing="1"/>
        <w:ind w:left="982"/>
        <w:jc w:val="both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sz w:val="24"/>
          <w:szCs w:val="24"/>
        </w:rPr>
        <w:t>Apoyar jurídicamente en casos de tutelas o demandas acerca de la gestión de cobro</w:t>
      </w:r>
    </w:p>
    <w:p w:rsidR="00435264" w:rsidRPr="00BA3632" w:rsidRDefault="00435264" w:rsidP="007A5B2D">
      <w:pPr>
        <w:pStyle w:val="Ttulo2"/>
        <w:ind w:left="262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BA3632">
        <w:rPr>
          <w:rFonts w:ascii="Arial" w:hAnsi="Arial" w:cs="Arial"/>
          <w:b/>
          <w:color w:val="auto"/>
          <w:sz w:val="24"/>
          <w:szCs w:val="24"/>
        </w:rPr>
        <w:t>Comité de Seguimiento, Evaluación y Calificación de Cartera</w:t>
      </w:r>
    </w:p>
    <w:p w:rsidR="00E92E90" w:rsidRPr="00BA3632" w:rsidRDefault="00E92E90" w:rsidP="007A5B2D">
      <w:pPr>
        <w:widowControl/>
        <w:numPr>
          <w:ilvl w:val="0"/>
          <w:numId w:val="11"/>
        </w:numPr>
        <w:tabs>
          <w:tab w:val="clear" w:pos="720"/>
          <w:tab w:val="num" w:pos="982"/>
        </w:tabs>
        <w:autoSpaceDE/>
        <w:autoSpaceDN/>
        <w:spacing w:before="100" w:beforeAutospacing="1" w:after="100" w:afterAutospacing="1"/>
        <w:ind w:left="982"/>
        <w:jc w:val="both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sz w:val="24"/>
          <w:szCs w:val="24"/>
        </w:rPr>
        <w:t>Evaluar cartera de difícil cobro</w:t>
      </w:r>
    </w:p>
    <w:p w:rsidR="00435264" w:rsidRPr="00BA3632" w:rsidRDefault="00435264" w:rsidP="007A5B2D">
      <w:pPr>
        <w:widowControl/>
        <w:numPr>
          <w:ilvl w:val="0"/>
          <w:numId w:val="11"/>
        </w:numPr>
        <w:tabs>
          <w:tab w:val="clear" w:pos="720"/>
          <w:tab w:val="num" w:pos="982"/>
        </w:tabs>
        <w:autoSpaceDE/>
        <w:autoSpaceDN/>
        <w:spacing w:before="100" w:beforeAutospacing="1" w:after="100" w:afterAutospacing="1"/>
        <w:ind w:left="982"/>
        <w:jc w:val="both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sz w:val="24"/>
          <w:szCs w:val="24"/>
        </w:rPr>
        <w:t xml:space="preserve">Evaluar solicitudes de normalización. </w:t>
      </w:r>
    </w:p>
    <w:p w:rsidR="00435264" w:rsidRPr="00BA3632" w:rsidRDefault="00E92E90" w:rsidP="007A5B2D">
      <w:pPr>
        <w:widowControl/>
        <w:numPr>
          <w:ilvl w:val="0"/>
          <w:numId w:val="11"/>
        </w:numPr>
        <w:tabs>
          <w:tab w:val="clear" w:pos="720"/>
          <w:tab w:val="num" w:pos="982"/>
        </w:tabs>
        <w:autoSpaceDE/>
        <w:autoSpaceDN/>
        <w:spacing w:before="100" w:beforeAutospacing="1" w:after="100" w:afterAutospacing="1"/>
        <w:ind w:left="982"/>
        <w:jc w:val="both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sz w:val="24"/>
          <w:szCs w:val="24"/>
        </w:rPr>
        <w:t>Analizar casos especiales.</w:t>
      </w:r>
      <w:r w:rsidR="00435264" w:rsidRPr="00BA3632">
        <w:rPr>
          <w:rFonts w:ascii="Arial" w:hAnsi="Arial" w:cs="Arial"/>
          <w:sz w:val="24"/>
          <w:szCs w:val="24"/>
        </w:rPr>
        <w:t xml:space="preserve"> </w:t>
      </w:r>
    </w:p>
    <w:p w:rsidR="00435264" w:rsidRPr="00BA3632" w:rsidRDefault="00435264" w:rsidP="007A5B2D">
      <w:pPr>
        <w:widowControl/>
        <w:numPr>
          <w:ilvl w:val="0"/>
          <w:numId w:val="11"/>
        </w:numPr>
        <w:tabs>
          <w:tab w:val="clear" w:pos="720"/>
          <w:tab w:val="num" w:pos="982"/>
        </w:tabs>
        <w:autoSpaceDE/>
        <w:autoSpaceDN/>
        <w:spacing w:before="100" w:beforeAutospacing="1" w:after="100" w:afterAutospacing="1"/>
        <w:ind w:left="982"/>
        <w:jc w:val="both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sz w:val="24"/>
          <w:szCs w:val="24"/>
        </w:rPr>
        <w:t xml:space="preserve">Aprobar mecanismos de recuperación cuando corresponda. </w:t>
      </w:r>
    </w:p>
    <w:p w:rsidR="001662EA" w:rsidRPr="00BA3632" w:rsidRDefault="001662EA" w:rsidP="007A5B2D">
      <w:pPr>
        <w:widowControl/>
        <w:numPr>
          <w:ilvl w:val="0"/>
          <w:numId w:val="11"/>
        </w:numPr>
        <w:tabs>
          <w:tab w:val="clear" w:pos="720"/>
          <w:tab w:val="num" w:pos="982"/>
        </w:tabs>
        <w:autoSpaceDE/>
        <w:autoSpaceDN/>
        <w:spacing w:before="100" w:beforeAutospacing="1" w:after="100" w:afterAutospacing="1"/>
        <w:ind w:left="982"/>
        <w:jc w:val="both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sz w:val="24"/>
          <w:szCs w:val="24"/>
        </w:rPr>
        <w:t>Evaluar y aprobar casos para depuración de cartera</w:t>
      </w:r>
    </w:p>
    <w:p w:rsidR="00435264" w:rsidRPr="00BA3632" w:rsidRDefault="00435264" w:rsidP="007A5B2D">
      <w:pPr>
        <w:pStyle w:val="Ttulo2"/>
        <w:ind w:left="262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BA3632">
        <w:rPr>
          <w:rFonts w:ascii="Arial" w:hAnsi="Arial" w:cs="Arial"/>
          <w:b/>
          <w:color w:val="auto"/>
          <w:sz w:val="24"/>
          <w:szCs w:val="24"/>
        </w:rPr>
        <w:lastRenderedPageBreak/>
        <w:t>Secretaría de Hacienda Municipal</w:t>
      </w:r>
    </w:p>
    <w:p w:rsidR="00435264" w:rsidRPr="00BA3632" w:rsidRDefault="00435264" w:rsidP="007A5B2D">
      <w:pPr>
        <w:widowControl/>
        <w:numPr>
          <w:ilvl w:val="0"/>
          <w:numId w:val="12"/>
        </w:numPr>
        <w:tabs>
          <w:tab w:val="clear" w:pos="720"/>
          <w:tab w:val="num" w:pos="982"/>
        </w:tabs>
        <w:autoSpaceDE/>
        <w:autoSpaceDN/>
        <w:spacing w:before="100" w:beforeAutospacing="1" w:after="100" w:afterAutospacing="1"/>
        <w:ind w:left="982"/>
        <w:jc w:val="both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sz w:val="24"/>
          <w:szCs w:val="24"/>
        </w:rPr>
        <w:t>Adelantar el cobro coactivo del Impuesto de Alumbrado Público.</w:t>
      </w:r>
    </w:p>
    <w:p w:rsidR="00435264" w:rsidRPr="00BA3632" w:rsidRDefault="00435264">
      <w:pPr>
        <w:pStyle w:val="Textoindependiente"/>
        <w:rPr>
          <w:rFonts w:ascii="Arial" w:hAnsi="Arial" w:cs="Arial"/>
          <w:sz w:val="24"/>
          <w:szCs w:val="24"/>
        </w:rPr>
      </w:pPr>
    </w:p>
    <w:p w:rsidR="002253FC" w:rsidRPr="00BA3632" w:rsidRDefault="008D2B2B">
      <w:pPr>
        <w:pStyle w:val="Ttulo1"/>
        <w:numPr>
          <w:ilvl w:val="0"/>
          <w:numId w:val="3"/>
        </w:numPr>
        <w:tabs>
          <w:tab w:val="left" w:pos="693"/>
          <w:tab w:val="left" w:pos="9697"/>
        </w:tabs>
        <w:ind w:left="693" w:hanging="431"/>
        <w:rPr>
          <w:sz w:val="24"/>
          <w:szCs w:val="24"/>
        </w:rPr>
      </w:pPr>
      <w:r w:rsidRPr="00BA3632">
        <w:rPr>
          <w:color w:val="000000"/>
          <w:spacing w:val="-2"/>
          <w:sz w:val="24"/>
          <w:szCs w:val="24"/>
          <w:shd w:val="clear" w:color="auto" w:fill="BEBEBE"/>
        </w:rPr>
        <w:t>GENERALIDADES</w:t>
      </w:r>
      <w:r w:rsidRPr="00BA3632">
        <w:rPr>
          <w:color w:val="000000"/>
          <w:sz w:val="24"/>
          <w:szCs w:val="24"/>
          <w:shd w:val="clear" w:color="auto" w:fill="BEBEBE"/>
        </w:rPr>
        <w:tab/>
      </w:r>
    </w:p>
    <w:p w:rsidR="002253FC" w:rsidRPr="00BA3632" w:rsidRDefault="002253FC">
      <w:pPr>
        <w:pStyle w:val="Textoindependiente"/>
        <w:rPr>
          <w:rFonts w:ascii="Arial" w:hAnsi="Arial" w:cs="Arial"/>
          <w:b/>
          <w:sz w:val="24"/>
          <w:szCs w:val="24"/>
        </w:rPr>
      </w:pPr>
    </w:p>
    <w:p w:rsidR="007A5B2D" w:rsidRPr="00BA3632" w:rsidRDefault="007A5B2D" w:rsidP="007A5B2D">
      <w:pPr>
        <w:pStyle w:val="Ttulo2"/>
        <w:ind w:left="262"/>
        <w:rPr>
          <w:rFonts w:ascii="Arial" w:eastAsia="Times New Roman" w:hAnsi="Arial" w:cs="Arial"/>
          <w:color w:val="auto"/>
          <w:sz w:val="24"/>
          <w:szCs w:val="24"/>
          <w:lang w:val="es-CO"/>
        </w:rPr>
      </w:pPr>
      <w:r w:rsidRPr="00BA3632">
        <w:rPr>
          <w:rFonts w:ascii="Arial" w:hAnsi="Arial" w:cs="Arial"/>
          <w:color w:val="auto"/>
          <w:sz w:val="24"/>
          <w:szCs w:val="24"/>
        </w:rPr>
        <w:t>5.1 Clasificación de las Obligaciones</w:t>
      </w:r>
    </w:p>
    <w:p w:rsidR="007A5B2D" w:rsidRPr="00BA3632" w:rsidRDefault="007A5B2D" w:rsidP="007A5B2D">
      <w:pPr>
        <w:pStyle w:val="NormalWeb"/>
        <w:ind w:left="262"/>
        <w:rPr>
          <w:rFonts w:ascii="Arial" w:hAnsi="Arial" w:cs="Arial"/>
        </w:rPr>
      </w:pPr>
      <w:r w:rsidRPr="00BA3632">
        <w:rPr>
          <w:rFonts w:ascii="Arial" w:hAnsi="Arial" w:cs="Arial"/>
        </w:rPr>
        <w:t>Las obligaciones administradas por INFIBAGUÉ se clasifican en:</w:t>
      </w:r>
    </w:p>
    <w:p w:rsidR="007A5B2D" w:rsidRPr="00BA3632" w:rsidRDefault="007A5B2D" w:rsidP="007A5B2D">
      <w:pPr>
        <w:pStyle w:val="Ttulo3"/>
        <w:numPr>
          <w:ilvl w:val="0"/>
          <w:numId w:val="12"/>
        </w:numPr>
        <w:rPr>
          <w:rFonts w:ascii="Arial" w:hAnsi="Arial" w:cs="Arial"/>
          <w:b/>
          <w:color w:val="auto"/>
        </w:rPr>
      </w:pPr>
      <w:r w:rsidRPr="00BA3632">
        <w:rPr>
          <w:rFonts w:ascii="Arial" w:hAnsi="Arial" w:cs="Arial"/>
          <w:b/>
          <w:color w:val="auto"/>
        </w:rPr>
        <w:t xml:space="preserve">Cartera Tributaria  </w:t>
      </w:r>
    </w:p>
    <w:p w:rsidR="00E92E90" w:rsidRPr="00E92E90" w:rsidRDefault="00E92E90" w:rsidP="00E92E90">
      <w:pPr>
        <w:widowControl/>
        <w:autoSpaceDE/>
        <w:autoSpaceDN/>
        <w:spacing w:before="100" w:beforeAutospacing="1" w:after="100" w:afterAutospacing="1"/>
        <w:ind w:left="1440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E92E90">
        <w:rPr>
          <w:rFonts w:ascii="Arial" w:eastAsia="Times New Roman" w:hAnsi="Arial" w:cs="Arial"/>
          <w:sz w:val="24"/>
          <w:szCs w:val="24"/>
          <w:lang w:val="es-CO" w:eastAsia="es-CO"/>
        </w:rPr>
        <w:t>Corresponden al Impuesto de Alumbrado Público.</w:t>
      </w:r>
    </w:p>
    <w:p w:rsidR="00E92E90" w:rsidRPr="00E92E90" w:rsidRDefault="00E92E90" w:rsidP="00E92E90">
      <w:pPr>
        <w:widowControl/>
        <w:autoSpaceDE/>
        <w:autoSpaceDN/>
        <w:spacing w:before="100" w:beforeAutospacing="1" w:after="100" w:afterAutospacing="1"/>
        <w:ind w:left="1440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E92E90">
        <w:rPr>
          <w:rFonts w:ascii="Arial" w:eastAsia="Times New Roman" w:hAnsi="Arial" w:cs="Arial"/>
          <w:sz w:val="24"/>
          <w:szCs w:val="24"/>
          <w:lang w:val="es-CO" w:eastAsia="es-CO"/>
        </w:rPr>
        <w:t>Normatividad aplicable:</w:t>
      </w:r>
    </w:p>
    <w:p w:rsidR="00E92E90" w:rsidRPr="00E92E90" w:rsidRDefault="00E92E90" w:rsidP="00E92E90">
      <w:pPr>
        <w:widowControl/>
        <w:numPr>
          <w:ilvl w:val="0"/>
          <w:numId w:val="17"/>
        </w:numPr>
        <w:tabs>
          <w:tab w:val="clear" w:pos="720"/>
          <w:tab w:val="num" w:pos="1800"/>
        </w:tabs>
        <w:autoSpaceDE/>
        <w:autoSpaceDN/>
        <w:spacing w:before="100" w:beforeAutospacing="1" w:after="100" w:afterAutospacing="1"/>
        <w:ind w:left="1800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E92E90">
        <w:rPr>
          <w:rFonts w:ascii="Arial" w:eastAsia="Times New Roman" w:hAnsi="Arial" w:cs="Arial"/>
          <w:sz w:val="24"/>
          <w:szCs w:val="24"/>
          <w:lang w:val="es-CO" w:eastAsia="es-CO"/>
        </w:rPr>
        <w:t xml:space="preserve">Estatuto Tributario. </w:t>
      </w:r>
    </w:p>
    <w:p w:rsidR="00E92E90" w:rsidRPr="00E92E90" w:rsidRDefault="00E92E90" w:rsidP="00E92E90">
      <w:pPr>
        <w:widowControl/>
        <w:numPr>
          <w:ilvl w:val="0"/>
          <w:numId w:val="17"/>
        </w:numPr>
        <w:tabs>
          <w:tab w:val="clear" w:pos="720"/>
          <w:tab w:val="num" w:pos="1800"/>
        </w:tabs>
        <w:autoSpaceDE/>
        <w:autoSpaceDN/>
        <w:spacing w:before="100" w:beforeAutospacing="1" w:after="100" w:afterAutospacing="1"/>
        <w:ind w:left="1800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E92E90">
        <w:rPr>
          <w:rFonts w:ascii="Arial" w:eastAsia="Times New Roman" w:hAnsi="Arial" w:cs="Arial"/>
          <w:sz w:val="24"/>
          <w:szCs w:val="24"/>
          <w:lang w:val="es-CO" w:eastAsia="es-CO"/>
        </w:rPr>
        <w:t xml:space="preserve">Estatuto de Rentas Municipal. </w:t>
      </w:r>
    </w:p>
    <w:p w:rsidR="00E92E90" w:rsidRPr="00E92E90" w:rsidRDefault="00E92E90" w:rsidP="00E92E90">
      <w:pPr>
        <w:widowControl/>
        <w:autoSpaceDE/>
        <w:autoSpaceDN/>
        <w:spacing w:before="100" w:beforeAutospacing="1" w:after="100" w:afterAutospacing="1"/>
        <w:ind w:left="1440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E92E90">
        <w:rPr>
          <w:rFonts w:ascii="Arial" w:eastAsia="Times New Roman" w:hAnsi="Arial" w:cs="Arial"/>
          <w:sz w:val="24"/>
          <w:szCs w:val="24"/>
          <w:lang w:val="es-CO" w:eastAsia="es-CO"/>
        </w:rPr>
        <w:t>Cobro coactivo:</w:t>
      </w:r>
    </w:p>
    <w:p w:rsidR="00E92E90" w:rsidRPr="00E92E90" w:rsidRDefault="00E92E90" w:rsidP="00E92E90">
      <w:pPr>
        <w:widowControl/>
        <w:numPr>
          <w:ilvl w:val="0"/>
          <w:numId w:val="18"/>
        </w:numPr>
        <w:tabs>
          <w:tab w:val="clear" w:pos="720"/>
          <w:tab w:val="num" w:pos="1800"/>
        </w:tabs>
        <w:autoSpaceDE/>
        <w:autoSpaceDN/>
        <w:spacing w:before="100" w:beforeAutospacing="1" w:after="100" w:afterAutospacing="1"/>
        <w:ind w:left="1800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E92E90">
        <w:rPr>
          <w:rFonts w:ascii="Arial" w:eastAsia="Times New Roman" w:hAnsi="Arial" w:cs="Arial"/>
          <w:sz w:val="24"/>
          <w:szCs w:val="24"/>
          <w:lang w:val="es-CO" w:eastAsia="es-CO"/>
        </w:rPr>
        <w:t>Secretaría de Hacienda Municipal.</w:t>
      </w:r>
    </w:p>
    <w:p w:rsidR="007A5B2D" w:rsidRPr="00BA3632" w:rsidRDefault="007A5B2D" w:rsidP="007A5B2D">
      <w:pPr>
        <w:pStyle w:val="Ttulo3"/>
        <w:numPr>
          <w:ilvl w:val="0"/>
          <w:numId w:val="12"/>
        </w:numPr>
        <w:rPr>
          <w:rFonts w:ascii="Arial" w:hAnsi="Arial" w:cs="Arial"/>
          <w:b/>
          <w:color w:val="auto"/>
        </w:rPr>
      </w:pPr>
      <w:r w:rsidRPr="00BA3632">
        <w:rPr>
          <w:rFonts w:ascii="Arial" w:hAnsi="Arial" w:cs="Arial"/>
          <w:b/>
          <w:color w:val="auto"/>
        </w:rPr>
        <w:t>Cartera No Tributaria</w:t>
      </w:r>
    </w:p>
    <w:p w:rsidR="007A5B2D" w:rsidRPr="00BA3632" w:rsidRDefault="007A5B2D" w:rsidP="00E92E90">
      <w:pPr>
        <w:pStyle w:val="NormalWeb"/>
        <w:ind w:left="1308"/>
        <w:rPr>
          <w:rFonts w:ascii="Arial" w:hAnsi="Arial" w:cs="Arial"/>
        </w:rPr>
      </w:pPr>
      <w:r w:rsidRPr="00BA3632">
        <w:rPr>
          <w:rFonts w:ascii="Arial" w:hAnsi="Arial" w:cs="Arial"/>
        </w:rPr>
        <w:t>Comprende:</w:t>
      </w:r>
    </w:p>
    <w:p w:rsidR="007A5B2D" w:rsidRPr="00BA3632" w:rsidRDefault="007A5B2D" w:rsidP="00E92E90">
      <w:pPr>
        <w:widowControl/>
        <w:numPr>
          <w:ilvl w:val="0"/>
          <w:numId w:val="21"/>
        </w:numPr>
        <w:tabs>
          <w:tab w:val="clear" w:pos="720"/>
          <w:tab w:val="num" w:pos="1766"/>
        </w:tabs>
        <w:autoSpaceDE/>
        <w:autoSpaceDN/>
        <w:spacing w:before="100" w:beforeAutospacing="1" w:after="100" w:afterAutospacing="1"/>
        <w:ind w:left="1766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sz w:val="24"/>
          <w:szCs w:val="24"/>
        </w:rPr>
        <w:t xml:space="preserve">Tarifas de uso administrativo. </w:t>
      </w:r>
    </w:p>
    <w:p w:rsidR="007A5B2D" w:rsidRPr="00BA3632" w:rsidRDefault="007A5B2D" w:rsidP="00E92E90">
      <w:pPr>
        <w:widowControl/>
        <w:numPr>
          <w:ilvl w:val="0"/>
          <w:numId w:val="21"/>
        </w:numPr>
        <w:tabs>
          <w:tab w:val="clear" w:pos="720"/>
          <w:tab w:val="num" w:pos="1766"/>
        </w:tabs>
        <w:autoSpaceDE/>
        <w:autoSpaceDN/>
        <w:spacing w:before="100" w:beforeAutospacing="1" w:after="100" w:afterAutospacing="1"/>
        <w:ind w:left="1766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sz w:val="24"/>
          <w:szCs w:val="24"/>
        </w:rPr>
        <w:t xml:space="preserve">Arrendamientos. </w:t>
      </w:r>
    </w:p>
    <w:p w:rsidR="007A5B2D" w:rsidRPr="00BA3632" w:rsidRDefault="007A5B2D" w:rsidP="00E92E90">
      <w:pPr>
        <w:widowControl/>
        <w:numPr>
          <w:ilvl w:val="0"/>
          <w:numId w:val="21"/>
        </w:numPr>
        <w:tabs>
          <w:tab w:val="clear" w:pos="720"/>
          <w:tab w:val="num" w:pos="1766"/>
        </w:tabs>
        <w:autoSpaceDE/>
        <w:autoSpaceDN/>
        <w:spacing w:before="100" w:beforeAutospacing="1" w:after="100" w:afterAutospacing="1"/>
        <w:ind w:left="1766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sz w:val="24"/>
          <w:szCs w:val="24"/>
        </w:rPr>
        <w:t xml:space="preserve">Contratos. </w:t>
      </w:r>
    </w:p>
    <w:p w:rsidR="007A5B2D" w:rsidRPr="00BA3632" w:rsidRDefault="007A5B2D" w:rsidP="00E92E90">
      <w:pPr>
        <w:widowControl/>
        <w:numPr>
          <w:ilvl w:val="0"/>
          <w:numId w:val="21"/>
        </w:numPr>
        <w:tabs>
          <w:tab w:val="clear" w:pos="720"/>
          <w:tab w:val="num" w:pos="1766"/>
        </w:tabs>
        <w:autoSpaceDE/>
        <w:autoSpaceDN/>
        <w:spacing w:before="100" w:beforeAutospacing="1" w:after="100" w:afterAutospacing="1"/>
        <w:ind w:left="1766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sz w:val="24"/>
          <w:szCs w:val="24"/>
        </w:rPr>
        <w:t xml:space="preserve">Sanciones. </w:t>
      </w:r>
    </w:p>
    <w:p w:rsidR="007A5B2D" w:rsidRPr="00BA3632" w:rsidRDefault="007A5B2D" w:rsidP="00E92E90">
      <w:pPr>
        <w:widowControl/>
        <w:numPr>
          <w:ilvl w:val="0"/>
          <w:numId w:val="21"/>
        </w:numPr>
        <w:tabs>
          <w:tab w:val="clear" w:pos="720"/>
          <w:tab w:val="num" w:pos="1766"/>
        </w:tabs>
        <w:autoSpaceDE/>
        <w:autoSpaceDN/>
        <w:spacing w:before="100" w:beforeAutospacing="1" w:after="100" w:afterAutospacing="1"/>
        <w:ind w:left="1766"/>
        <w:rPr>
          <w:rFonts w:ascii="Arial" w:hAnsi="Arial" w:cs="Arial"/>
          <w:sz w:val="24"/>
          <w:szCs w:val="24"/>
        </w:rPr>
      </w:pPr>
      <w:r w:rsidRPr="00BA3632">
        <w:rPr>
          <w:rFonts w:ascii="Arial" w:hAnsi="Arial" w:cs="Arial"/>
          <w:sz w:val="24"/>
          <w:szCs w:val="24"/>
        </w:rPr>
        <w:t xml:space="preserve">Otras acreencias institucionales. </w:t>
      </w:r>
    </w:p>
    <w:p w:rsidR="00E92E90" w:rsidRPr="00E92E90" w:rsidRDefault="00E92E90" w:rsidP="00E92E90">
      <w:pPr>
        <w:widowControl/>
        <w:autoSpaceDE/>
        <w:autoSpaceDN/>
        <w:spacing w:before="100" w:beforeAutospacing="1" w:after="100" w:afterAutospacing="1"/>
        <w:ind w:left="1406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E92E90">
        <w:rPr>
          <w:rFonts w:ascii="Arial" w:eastAsia="Times New Roman" w:hAnsi="Arial" w:cs="Arial"/>
          <w:sz w:val="24"/>
          <w:szCs w:val="24"/>
          <w:lang w:val="es-CO" w:eastAsia="es-CO"/>
        </w:rPr>
        <w:t>Normatividad aplicable:</w:t>
      </w:r>
    </w:p>
    <w:p w:rsidR="00E92E90" w:rsidRPr="00E92E90" w:rsidRDefault="00E92E90" w:rsidP="00E92E90">
      <w:pPr>
        <w:widowControl/>
        <w:numPr>
          <w:ilvl w:val="0"/>
          <w:numId w:val="22"/>
        </w:numPr>
        <w:tabs>
          <w:tab w:val="clear" w:pos="720"/>
          <w:tab w:val="num" w:pos="1766"/>
        </w:tabs>
        <w:autoSpaceDE/>
        <w:autoSpaceDN/>
        <w:spacing w:before="100" w:beforeAutospacing="1" w:after="100" w:afterAutospacing="1"/>
        <w:ind w:left="1766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E92E90">
        <w:rPr>
          <w:rFonts w:ascii="Arial" w:eastAsia="Times New Roman" w:hAnsi="Arial" w:cs="Arial"/>
          <w:sz w:val="24"/>
          <w:szCs w:val="24"/>
          <w:lang w:val="es-CO" w:eastAsia="es-CO"/>
        </w:rPr>
        <w:t xml:space="preserve">CPACA. </w:t>
      </w:r>
    </w:p>
    <w:p w:rsidR="00E92E90" w:rsidRPr="00E92E90" w:rsidRDefault="00E92E90" w:rsidP="00E92E90">
      <w:pPr>
        <w:widowControl/>
        <w:numPr>
          <w:ilvl w:val="0"/>
          <w:numId w:val="22"/>
        </w:numPr>
        <w:tabs>
          <w:tab w:val="clear" w:pos="720"/>
          <w:tab w:val="num" w:pos="1766"/>
        </w:tabs>
        <w:autoSpaceDE/>
        <w:autoSpaceDN/>
        <w:spacing w:before="100" w:beforeAutospacing="1" w:after="100" w:afterAutospacing="1"/>
        <w:ind w:left="1766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E92E90">
        <w:rPr>
          <w:rFonts w:ascii="Arial" w:eastAsia="Times New Roman" w:hAnsi="Arial" w:cs="Arial"/>
          <w:sz w:val="24"/>
          <w:szCs w:val="24"/>
          <w:lang w:val="es-CO" w:eastAsia="es-CO"/>
        </w:rPr>
        <w:t xml:space="preserve">Código General del Proceso. </w:t>
      </w:r>
    </w:p>
    <w:p w:rsidR="00E92E90" w:rsidRPr="00E92E90" w:rsidRDefault="00E92E90" w:rsidP="00E92E90">
      <w:pPr>
        <w:widowControl/>
        <w:autoSpaceDE/>
        <w:autoSpaceDN/>
        <w:spacing w:before="100" w:beforeAutospacing="1" w:after="100" w:afterAutospacing="1"/>
        <w:ind w:left="1406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E92E90">
        <w:rPr>
          <w:rFonts w:ascii="Arial" w:eastAsia="Times New Roman" w:hAnsi="Arial" w:cs="Arial"/>
          <w:sz w:val="24"/>
          <w:szCs w:val="24"/>
          <w:lang w:val="es-CO" w:eastAsia="es-CO"/>
        </w:rPr>
        <w:t>Cobro coactivo:</w:t>
      </w:r>
    </w:p>
    <w:p w:rsidR="00E92E90" w:rsidRPr="00E92E90" w:rsidRDefault="00E92E90" w:rsidP="00E92E90">
      <w:pPr>
        <w:widowControl/>
        <w:numPr>
          <w:ilvl w:val="0"/>
          <w:numId w:val="23"/>
        </w:numPr>
        <w:tabs>
          <w:tab w:val="clear" w:pos="720"/>
          <w:tab w:val="num" w:pos="1766"/>
        </w:tabs>
        <w:autoSpaceDE/>
        <w:autoSpaceDN/>
        <w:spacing w:before="100" w:beforeAutospacing="1" w:after="100" w:afterAutospacing="1"/>
        <w:ind w:left="1766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E92E90">
        <w:rPr>
          <w:rFonts w:ascii="Arial" w:eastAsia="Times New Roman" w:hAnsi="Arial" w:cs="Arial"/>
          <w:sz w:val="24"/>
          <w:szCs w:val="24"/>
          <w:lang w:val="es-CO" w:eastAsia="es-CO"/>
        </w:rPr>
        <w:t>INFIBAGUÉ.</w:t>
      </w:r>
    </w:p>
    <w:p w:rsidR="007A5B2D" w:rsidRPr="00BA3632" w:rsidRDefault="007A5B2D" w:rsidP="006E2BD4">
      <w:pPr>
        <w:pStyle w:val="Ttulo3"/>
        <w:numPr>
          <w:ilvl w:val="0"/>
          <w:numId w:val="12"/>
        </w:numPr>
        <w:rPr>
          <w:rFonts w:ascii="Arial" w:hAnsi="Arial" w:cs="Arial"/>
          <w:b/>
          <w:color w:val="auto"/>
        </w:rPr>
      </w:pPr>
      <w:r w:rsidRPr="00BA3632">
        <w:rPr>
          <w:rFonts w:ascii="Arial" w:hAnsi="Arial" w:cs="Arial"/>
          <w:b/>
          <w:color w:val="auto"/>
        </w:rPr>
        <w:t>Cartera Crediticia</w:t>
      </w:r>
    </w:p>
    <w:p w:rsidR="007A5B2D" w:rsidRPr="00BA3632" w:rsidRDefault="007A5B2D" w:rsidP="007A5B2D">
      <w:pPr>
        <w:pStyle w:val="NormalWeb"/>
        <w:ind w:left="262"/>
        <w:rPr>
          <w:rFonts w:ascii="Arial" w:hAnsi="Arial" w:cs="Arial"/>
        </w:rPr>
      </w:pPr>
      <w:r w:rsidRPr="00BA3632">
        <w:rPr>
          <w:rFonts w:ascii="Arial" w:hAnsi="Arial" w:cs="Arial"/>
        </w:rPr>
        <w:t>Corresponde a las operaciones financieras otorgadas por INFIBAGUÉ.</w:t>
      </w:r>
    </w:p>
    <w:p w:rsidR="007A5B2D" w:rsidRPr="00BA3632" w:rsidRDefault="007A5B2D" w:rsidP="00C67F51">
      <w:pPr>
        <w:pStyle w:val="NormalWeb"/>
        <w:ind w:left="262"/>
        <w:rPr>
          <w:rFonts w:ascii="Arial" w:hAnsi="Arial" w:cs="Arial"/>
        </w:rPr>
      </w:pPr>
      <w:r w:rsidRPr="00BA3632">
        <w:rPr>
          <w:rFonts w:ascii="Arial" w:hAnsi="Arial" w:cs="Arial"/>
        </w:rPr>
        <w:lastRenderedPageBreak/>
        <w:t>La administración del riesgo, clasificación, provisiones, seguimiento, reestructuración y demás actividades propias de la gestión del riesgo crediticio se regirán por el Manual del Sistema de Administración del Riesgo de Crédito – SARC.</w:t>
      </w:r>
    </w:p>
    <w:p w:rsidR="007A5B2D" w:rsidRPr="00BA3632" w:rsidRDefault="007A5B2D" w:rsidP="007A5B2D">
      <w:pPr>
        <w:pStyle w:val="Ttulo2"/>
        <w:ind w:left="262"/>
        <w:rPr>
          <w:rFonts w:ascii="Arial" w:hAnsi="Arial" w:cs="Arial"/>
          <w:color w:val="auto"/>
          <w:sz w:val="24"/>
          <w:szCs w:val="24"/>
        </w:rPr>
      </w:pPr>
      <w:r w:rsidRPr="00BA3632">
        <w:rPr>
          <w:rFonts w:ascii="Arial" w:hAnsi="Arial" w:cs="Arial"/>
          <w:color w:val="auto"/>
          <w:sz w:val="24"/>
          <w:szCs w:val="24"/>
        </w:rPr>
        <w:t>5.2 Gestión Integral de Cartera</w:t>
      </w:r>
    </w:p>
    <w:p w:rsidR="007A5B2D" w:rsidRPr="00BA3632" w:rsidRDefault="007A5B2D" w:rsidP="007A5B2D">
      <w:pPr>
        <w:pStyle w:val="NormalWeb"/>
        <w:ind w:left="262"/>
        <w:rPr>
          <w:rFonts w:ascii="Arial" w:hAnsi="Arial" w:cs="Arial"/>
        </w:rPr>
      </w:pPr>
      <w:r w:rsidRPr="00BA3632">
        <w:rPr>
          <w:rFonts w:ascii="Arial" w:hAnsi="Arial" w:cs="Arial"/>
        </w:rPr>
        <w:t>La gestión de cartera se desarrollará mediante las siguientes etapas:</w:t>
      </w:r>
    </w:p>
    <w:p w:rsidR="007A5B2D" w:rsidRPr="00BA3632" w:rsidRDefault="007A5B2D" w:rsidP="006C611A">
      <w:pPr>
        <w:pStyle w:val="Ttulo3"/>
        <w:numPr>
          <w:ilvl w:val="0"/>
          <w:numId w:val="24"/>
        </w:numPr>
        <w:ind w:left="262"/>
        <w:rPr>
          <w:rFonts w:ascii="Arial" w:hAnsi="Arial" w:cs="Arial"/>
          <w:color w:val="auto"/>
        </w:rPr>
      </w:pPr>
      <w:r w:rsidRPr="00BA3632">
        <w:rPr>
          <w:rFonts w:ascii="Arial" w:hAnsi="Arial" w:cs="Arial"/>
          <w:b/>
          <w:color w:val="auto"/>
        </w:rPr>
        <w:t>Gestión Persuasiva</w:t>
      </w:r>
      <w:r w:rsidR="00BA3632" w:rsidRPr="00BA3632">
        <w:rPr>
          <w:rFonts w:ascii="Arial" w:hAnsi="Arial" w:cs="Arial"/>
          <w:b/>
          <w:color w:val="auto"/>
        </w:rPr>
        <w:t>:</w:t>
      </w:r>
      <w:r w:rsidR="00BA3632" w:rsidRPr="00BA3632">
        <w:rPr>
          <w:rFonts w:ascii="Arial" w:hAnsi="Arial" w:cs="Arial"/>
          <w:color w:val="auto"/>
        </w:rPr>
        <w:t xml:space="preserve"> </w:t>
      </w:r>
      <w:r w:rsidRPr="00BA3632">
        <w:rPr>
          <w:rFonts w:ascii="Arial" w:hAnsi="Arial" w:cs="Arial"/>
          <w:color w:val="auto"/>
        </w:rPr>
        <w:t>Obtención del pago voluntario.</w:t>
      </w:r>
    </w:p>
    <w:p w:rsidR="007A5B2D" w:rsidRPr="00BA3632" w:rsidRDefault="007A5B2D" w:rsidP="00F12D6A">
      <w:pPr>
        <w:pStyle w:val="Ttulo3"/>
        <w:numPr>
          <w:ilvl w:val="0"/>
          <w:numId w:val="24"/>
        </w:numPr>
        <w:ind w:left="262"/>
        <w:rPr>
          <w:rFonts w:ascii="Arial" w:hAnsi="Arial" w:cs="Arial"/>
          <w:color w:val="auto"/>
        </w:rPr>
      </w:pPr>
      <w:r w:rsidRPr="00BA3632">
        <w:rPr>
          <w:rFonts w:ascii="Arial" w:hAnsi="Arial" w:cs="Arial"/>
          <w:b/>
          <w:color w:val="auto"/>
        </w:rPr>
        <w:t>Normalización</w:t>
      </w:r>
      <w:r w:rsidR="00BA3632" w:rsidRPr="00BA3632">
        <w:rPr>
          <w:rFonts w:ascii="Arial" w:hAnsi="Arial" w:cs="Arial"/>
          <w:b/>
          <w:color w:val="auto"/>
        </w:rPr>
        <w:t>:</w:t>
      </w:r>
      <w:r w:rsidR="00BA3632" w:rsidRPr="00BA3632">
        <w:rPr>
          <w:rFonts w:ascii="Arial" w:hAnsi="Arial" w:cs="Arial"/>
          <w:color w:val="auto"/>
        </w:rPr>
        <w:t xml:space="preserve"> </w:t>
      </w:r>
      <w:r w:rsidRPr="00BA3632">
        <w:rPr>
          <w:rFonts w:ascii="Arial" w:hAnsi="Arial" w:cs="Arial"/>
          <w:color w:val="auto"/>
        </w:rPr>
        <w:t>Acuerdos de pago y mecanismos de recuperación.</w:t>
      </w:r>
    </w:p>
    <w:p w:rsidR="007A5B2D" w:rsidRPr="00BA3632" w:rsidRDefault="007A5B2D" w:rsidP="00B04B77">
      <w:pPr>
        <w:pStyle w:val="Ttulo3"/>
        <w:numPr>
          <w:ilvl w:val="0"/>
          <w:numId w:val="24"/>
        </w:numPr>
        <w:ind w:left="262"/>
        <w:rPr>
          <w:rFonts w:ascii="Arial" w:hAnsi="Arial" w:cs="Arial"/>
          <w:color w:val="auto"/>
        </w:rPr>
      </w:pPr>
      <w:r w:rsidRPr="00BA3632">
        <w:rPr>
          <w:rFonts w:ascii="Arial" w:hAnsi="Arial" w:cs="Arial"/>
          <w:b/>
          <w:color w:val="auto"/>
        </w:rPr>
        <w:t>Cobro Coactivo</w:t>
      </w:r>
      <w:r w:rsidR="00BA3632" w:rsidRPr="00BA3632">
        <w:rPr>
          <w:rFonts w:ascii="Arial" w:hAnsi="Arial" w:cs="Arial"/>
          <w:b/>
          <w:color w:val="auto"/>
        </w:rPr>
        <w:t>:</w:t>
      </w:r>
      <w:r w:rsidR="00BA3632" w:rsidRPr="00BA3632">
        <w:rPr>
          <w:rFonts w:ascii="Arial" w:hAnsi="Arial" w:cs="Arial"/>
          <w:color w:val="auto"/>
        </w:rPr>
        <w:t xml:space="preserve"> </w:t>
      </w:r>
      <w:r w:rsidRPr="00BA3632">
        <w:rPr>
          <w:rFonts w:ascii="Arial" w:hAnsi="Arial" w:cs="Arial"/>
          <w:color w:val="auto"/>
        </w:rPr>
        <w:t>Recuperación forzosa de obligaciones.</w:t>
      </w:r>
    </w:p>
    <w:p w:rsidR="002253FC" w:rsidRPr="00BA3632" w:rsidRDefault="002253FC">
      <w:pPr>
        <w:pStyle w:val="Textoindependiente"/>
        <w:rPr>
          <w:rFonts w:ascii="Arial" w:hAnsi="Arial" w:cs="Arial"/>
          <w:sz w:val="24"/>
          <w:szCs w:val="24"/>
        </w:rPr>
      </w:pPr>
    </w:p>
    <w:p w:rsidR="002253FC" w:rsidRPr="00BA3632" w:rsidRDefault="002253FC">
      <w:pPr>
        <w:pStyle w:val="Textoindependiente"/>
        <w:spacing w:before="36"/>
        <w:rPr>
          <w:rFonts w:ascii="Arial" w:hAnsi="Arial" w:cs="Arial"/>
          <w:sz w:val="24"/>
          <w:szCs w:val="24"/>
        </w:rPr>
      </w:pPr>
    </w:p>
    <w:p w:rsidR="002253FC" w:rsidRDefault="008D2B2B" w:rsidP="00BA3632">
      <w:pPr>
        <w:pStyle w:val="Ttulo1"/>
        <w:numPr>
          <w:ilvl w:val="0"/>
          <w:numId w:val="3"/>
        </w:numPr>
        <w:tabs>
          <w:tab w:val="left" w:pos="693"/>
          <w:tab w:val="left" w:pos="9697"/>
        </w:tabs>
        <w:ind w:left="693" w:hanging="431"/>
        <w:rPr>
          <w:sz w:val="24"/>
          <w:szCs w:val="24"/>
        </w:rPr>
      </w:pPr>
      <w:r w:rsidRPr="00BA3632">
        <w:rPr>
          <w:color w:val="000000"/>
          <w:sz w:val="24"/>
          <w:szCs w:val="24"/>
          <w:shd w:val="clear" w:color="auto" w:fill="BEBEBE"/>
        </w:rPr>
        <w:t>DETALLE</w:t>
      </w:r>
      <w:r w:rsidRPr="00BA3632">
        <w:rPr>
          <w:color w:val="000000"/>
          <w:spacing w:val="-6"/>
          <w:sz w:val="24"/>
          <w:szCs w:val="24"/>
          <w:shd w:val="clear" w:color="auto" w:fill="BEBEBE"/>
        </w:rPr>
        <w:t xml:space="preserve"> </w:t>
      </w:r>
      <w:r w:rsidRPr="00BA3632">
        <w:rPr>
          <w:color w:val="000000"/>
          <w:sz w:val="24"/>
          <w:szCs w:val="24"/>
          <w:shd w:val="clear" w:color="auto" w:fill="BEBEBE"/>
        </w:rPr>
        <w:t>DEL</w:t>
      </w:r>
      <w:r w:rsidRPr="00BA3632">
        <w:rPr>
          <w:color w:val="000000"/>
          <w:spacing w:val="-5"/>
          <w:sz w:val="24"/>
          <w:szCs w:val="24"/>
          <w:shd w:val="clear" w:color="auto" w:fill="BEBEBE"/>
        </w:rPr>
        <w:t xml:space="preserve"> </w:t>
      </w:r>
      <w:r w:rsidRPr="00BA3632">
        <w:rPr>
          <w:color w:val="000000"/>
          <w:spacing w:val="-2"/>
          <w:sz w:val="24"/>
          <w:szCs w:val="24"/>
          <w:shd w:val="clear" w:color="auto" w:fill="BEBEBE"/>
        </w:rPr>
        <w:t>PROCEDIMIENTO</w:t>
      </w:r>
      <w:r w:rsidRPr="00BA3632">
        <w:rPr>
          <w:color w:val="000000"/>
          <w:sz w:val="24"/>
          <w:szCs w:val="24"/>
          <w:shd w:val="clear" w:color="auto" w:fill="BEBEBE"/>
        </w:rPr>
        <w:tab/>
      </w:r>
    </w:p>
    <w:p w:rsidR="00BA3632" w:rsidRDefault="00BA3632" w:rsidP="00BA3632">
      <w:pPr>
        <w:pStyle w:val="Ttulo1"/>
        <w:tabs>
          <w:tab w:val="left" w:pos="693"/>
          <w:tab w:val="left" w:pos="9697"/>
        </w:tabs>
        <w:ind w:left="0" w:firstLine="0"/>
        <w:rPr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03"/>
        <w:gridCol w:w="3449"/>
        <w:gridCol w:w="2295"/>
        <w:gridCol w:w="1868"/>
        <w:gridCol w:w="2081"/>
      </w:tblGrid>
      <w:tr w:rsidR="00881ACF" w:rsidRPr="00BA3632" w:rsidTr="00F934FB">
        <w:trPr>
          <w:tblHeader/>
          <w:jc w:val="center"/>
        </w:trPr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  <w:bookmarkStart w:id="0" w:name="_GoBack" w:colFirst="0" w:colLast="4"/>
            <w:r w:rsidRPr="00BA363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>No.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>ACTIVIDAD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>RESPONSABLE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>REGISTRO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>PUNTO DE CONTROL</w:t>
            </w:r>
          </w:p>
        </w:tc>
      </w:tr>
      <w:bookmarkEnd w:id="0"/>
      <w:tr w:rsidR="00881ACF" w:rsidRPr="00BA3632" w:rsidTr="00BA3632">
        <w:trPr>
          <w:jc w:val="center"/>
        </w:trPr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Identificar obligaciones vencidas 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Grupo de Gestión de Cartera y Cobranza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Base de datos de cartera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Reporte de cartera</w:t>
            </w:r>
          </w:p>
        </w:tc>
      </w:tr>
      <w:tr w:rsidR="00881ACF" w:rsidRPr="00BA3632" w:rsidTr="00BA3632">
        <w:trPr>
          <w:jc w:val="center"/>
        </w:trPr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Clasificar obligaciones según su naturaleza (tributaria, no tributaria o crediticia)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Grupo de Gestión de Cartera y Cobranza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Base de datos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Clasificación validada</w:t>
            </w:r>
          </w:p>
        </w:tc>
      </w:tr>
      <w:tr w:rsidR="00881ACF" w:rsidRPr="00BA3632" w:rsidTr="00BA3632">
        <w:trPr>
          <w:jc w:val="center"/>
        </w:trPr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Adelantar gestión persuasiva mediante comunicaciones, llamadas, correos electrónicos, visitas y atención presencial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Grupo de Gestión de Cartera y Cobranza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Registro de gestión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Evidencia de gestión</w:t>
            </w:r>
          </w:p>
        </w:tc>
      </w:tr>
      <w:tr w:rsidR="00881ACF" w:rsidRPr="00BA3632" w:rsidTr="00BA3632">
        <w:trPr>
          <w:jc w:val="center"/>
        </w:trPr>
        <w:tc>
          <w:tcPr>
            <w:tcW w:w="0" w:type="auto"/>
            <w:vAlign w:val="center"/>
            <w:hideMark/>
          </w:tcPr>
          <w:p w:rsidR="00BA3632" w:rsidRPr="00BA3632" w:rsidRDefault="00D06D14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Tramitar acuerdos de pago y realizar seguimiento a su cumplimiento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Grupo de Gestión de Cartera y Cobranza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Resolución o acuerdo suscrito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Seguimiento </w:t>
            </w:r>
          </w:p>
        </w:tc>
      </w:tr>
      <w:tr w:rsidR="00881ACF" w:rsidRPr="00BA3632" w:rsidTr="00BA3632">
        <w:trPr>
          <w:jc w:val="center"/>
        </w:trPr>
        <w:tc>
          <w:tcPr>
            <w:tcW w:w="0" w:type="auto"/>
            <w:vAlign w:val="center"/>
            <w:hideMark/>
          </w:tcPr>
          <w:p w:rsidR="00BA3632" w:rsidRPr="00BA3632" w:rsidRDefault="00D06D14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Consolidar expediente para cobro coactivo o remisión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Grupo de Gestión de Cartera y Cobranza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Expediente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Lista de chequeo</w:t>
            </w:r>
          </w:p>
        </w:tc>
      </w:tr>
      <w:tr w:rsidR="00881ACF" w:rsidRPr="00BA3632" w:rsidTr="00DB2A42">
        <w:trPr>
          <w:jc w:val="center"/>
        </w:trPr>
        <w:tc>
          <w:tcPr>
            <w:tcW w:w="0" w:type="auto"/>
            <w:vAlign w:val="center"/>
            <w:hideMark/>
          </w:tcPr>
          <w:p w:rsidR="00D06D14" w:rsidRPr="00BA3632" w:rsidRDefault="00D06D14" w:rsidP="00DB2A4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06D14" w:rsidRPr="00BA3632" w:rsidRDefault="00D06D14" w:rsidP="00DB2A4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Remitir expedientes de Impuesto de Alumbrado Público a la Secretaría de Hacienda Municipal</w:t>
            </w: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– Oficina de Cobro Coactivo</w:t>
            </w:r>
          </w:p>
        </w:tc>
        <w:tc>
          <w:tcPr>
            <w:tcW w:w="0" w:type="auto"/>
            <w:vAlign w:val="center"/>
            <w:hideMark/>
          </w:tcPr>
          <w:p w:rsidR="00D06D14" w:rsidRPr="00BA3632" w:rsidRDefault="00D06D14" w:rsidP="00DB2A4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Grupo de Gestión de Cartera y Cobranza</w:t>
            </w:r>
          </w:p>
        </w:tc>
        <w:tc>
          <w:tcPr>
            <w:tcW w:w="0" w:type="auto"/>
            <w:vAlign w:val="center"/>
            <w:hideMark/>
          </w:tcPr>
          <w:p w:rsidR="00D06D14" w:rsidRPr="00BA3632" w:rsidRDefault="00D06D14" w:rsidP="00DB2A4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Oficio de remisión</w:t>
            </w:r>
          </w:p>
        </w:tc>
        <w:tc>
          <w:tcPr>
            <w:tcW w:w="0" w:type="auto"/>
            <w:vAlign w:val="center"/>
            <w:hideMark/>
          </w:tcPr>
          <w:p w:rsidR="00D06D14" w:rsidRPr="00BA3632" w:rsidRDefault="00D06D14" w:rsidP="00DB2A4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Radicación</w:t>
            </w:r>
          </w:p>
        </w:tc>
      </w:tr>
      <w:tr w:rsidR="00881ACF" w:rsidRPr="00BA3632" w:rsidTr="00BA3632">
        <w:trPr>
          <w:jc w:val="center"/>
        </w:trPr>
        <w:tc>
          <w:tcPr>
            <w:tcW w:w="0" w:type="auto"/>
            <w:vAlign w:val="center"/>
            <w:hideMark/>
          </w:tcPr>
          <w:p w:rsidR="00BA3632" w:rsidRPr="00BA3632" w:rsidRDefault="00D06D14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D06D14" w:rsidP="00D06D14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Remitir expedientes de o</w:t>
            </w:r>
            <w:r w:rsidRPr="00D06D14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bligaciones derivadas de contratos y operaciones financieras </w:t>
            </w:r>
            <w:r w:rsidR="00BA3632"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a la Secretaría </w:t>
            </w: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General del Instituto para iniciar cobro jurídico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Grupo de Gestión de Cartera y Cobranza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Oficio de remisión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Radicación</w:t>
            </w:r>
          </w:p>
        </w:tc>
      </w:tr>
      <w:tr w:rsidR="00881ACF" w:rsidRPr="00BA3632" w:rsidTr="00BA3632">
        <w:trPr>
          <w:jc w:val="center"/>
        </w:trPr>
        <w:tc>
          <w:tcPr>
            <w:tcW w:w="0" w:type="auto"/>
            <w:vAlign w:val="center"/>
            <w:hideMark/>
          </w:tcPr>
          <w:p w:rsidR="00BA3632" w:rsidRPr="00BA3632" w:rsidRDefault="00D06D14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D06D14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Revisar títulos ejecutivos y </w:t>
            </w:r>
            <w:r w:rsidR="00BA3632"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soportes documentales</w:t>
            </w: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para </w:t>
            </w: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lastRenderedPageBreak/>
              <w:t>iniciar cobro coactivo de obligaciones no tributarias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D06D14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lastRenderedPageBreak/>
              <w:t xml:space="preserve">Grupo de Gestión de Cartera y </w:t>
            </w: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lastRenderedPageBreak/>
              <w:t>Cobranza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D06D14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lastRenderedPageBreak/>
              <w:t>Informe jurídico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Verificación documental</w:t>
            </w:r>
          </w:p>
        </w:tc>
      </w:tr>
      <w:tr w:rsidR="00881ACF" w:rsidRPr="00BA3632" w:rsidTr="00BA3632">
        <w:trPr>
          <w:jc w:val="center"/>
        </w:trPr>
        <w:tc>
          <w:tcPr>
            <w:tcW w:w="0" w:type="auto"/>
            <w:vAlign w:val="center"/>
            <w:hideMark/>
          </w:tcPr>
          <w:p w:rsidR="00BA3632" w:rsidRPr="00BA3632" w:rsidRDefault="00AD0D69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AD0D69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Proferir</w:t>
            </w:r>
            <w:r w:rsidR="00BA3632"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mandamiento de pago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AD0D69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Grupo de Gestión de Cartera y Cobranza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Mandamiento de pago</w:t>
            </w:r>
          </w:p>
        </w:tc>
        <w:tc>
          <w:tcPr>
            <w:tcW w:w="0" w:type="auto"/>
            <w:vAlign w:val="center"/>
            <w:hideMark/>
          </w:tcPr>
          <w:p w:rsidR="00BA3632" w:rsidRPr="00BA3632" w:rsidRDefault="00BA3632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Notificación</w:t>
            </w:r>
          </w:p>
        </w:tc>
      </w:tr>
      <w:tr w:rsidR="00881ACF" w:rsidRPr="00BA3632" w:rsidTr="00BA3632">
        <w:trPr>
          <w:jc w:val="center"/>
        </w:trPr>
        <w:tc>
          <w:tcPr>
            <w:tcW w:w="0" w:type="auto"/>
            <w:vAlign w:val="center"/>
          </w:tcPr>
          <w:p w:rsidR="00AD0D69" w:rsidRPr="00BA3632" w:rsidRDefault="00AD0D69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10</w:t>
            </w:r>
          </w:p>
        </w:tc>
        <w:tc>
          <w:tcPr>
            <w:tcW w:w="0" w:type="auto"/>
            <w:vAlign w:val="center"/>
          </w:tcPr>
          <w:p w:rsidR="00AD0D69" w:rsidRPr="00BA3632" w:rsidRDefault="00AD0D69" w:rsidP="00881ACF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Proferir Auto de Seguir adelante con ejecución</w:t>
            </w:r>
            <w:r w:rsidR="00881ACF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,</w:t>
            </w: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embargo</w:t>
            </w:r>
            <w:r w:rsidR="00881ACF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y secuestre de bienes</w:t>
            </w:r>
          </w:p>
        </w:tc>
        <w:tc>
          <w:tcPr>
            <w:tcW w:w="0" w:type="auto"/>
            <w:vAlign w:val="center"/>
          </w:tcPr>
          <w:p w:rsidR="00AD0D69" w:rsidRPr="00BA3632" w:rsidRDefault="00AD0D69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Grupo de Gestión de Cartera y Cobranza</w:t>
            </w:r>
          </w:p>
        </w:tc>
        <w:tc>
          <w:tcPr>
            <w:tcW w:w="0" w:type="auto"/>
            <w:vAlign w:val="center"/>
          </w:tcPr>
          <w:p w:rsidR="00AD0D69" w:rsidRPr="00BA3632" w:rsidRDefault="00AD0D69" w:rsidP="00BA3632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Auto</w:t>
            </w:r>
          </w:p>
        </w:tc>
        <w:tc>
          <w:tcPr>
            <w:tcW w:w="0" w:type="auto"/>
            <w:vAlign w:val="center"/>
          </w:tcPr>
          <w:p w:rsidR="00AD0D69" w:rsidRPr="00BA3632" w:rsidRDefault="00AD0D69" w:rsidP="00AD0D69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Evidencia de gestión </w:t>
            </w:r>
          </w:p>
        </w:tc>
      </w:tr>
      <w:tr w:rsidR="00881ACF" w:rsidRPr="00BA3632" w:rsidTr="00E83583">
        <w:trPr>
          <w:jc w:val="center"/>
        </w:trPr>
        <w:tc>
          <w:tcPr>
            <w:tcW w:w="0" w:type="auto"/>
            <w:vAlign w:val="center"/>
            <w:hideMark/>
          </w:tcPr>
          <w:p w:rsidR="00AD0D69" w:rsidRPr="00BA3632" w:rsidRDefault="00AD0D69" w:rsidP="00120FD5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1</w:t>
            </w:r>
            <w:r w:rsidR="00120FD5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D0D69" w:rsidRPr="00BA3632" w:rsidRDefault="00881ACF" w:rsidP="00AD0D69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Solicitar aplicación de embargo a entidades bancarias</w:t>
            </w:r>
          </w:p>
        </w:tc>
        <w:tc>
          <w:tcPr>
            <w:tcW w:w="0" w:type="auto"/>
            <w:hideMark/>
          </w:tcPr>
          <w:p w:rsidR="00AD0D69" w:rsidRDefault="00AD0D69" w:rsidP="00AD0D69"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Grupo de Gestión de Cartera y Cobranza</w:t>
            </w:r>
          </w:p>
        </w:tc>
        <w:tc>
          <w:tcPr>
            <w:tcW w:w="0" w:type="auto"/>
            <w:vAlign w:val="center"/>
            <w:hideMark/>
          </w:tcPr>
          <w:p w:rsidR="00AD0D69" w:rsidRPr="00BA3632" w:rsidRDefault="00881ACF" w:rsidP="00AD0D69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Oficios</w:t>
            </w:r>
          </w:p>
        </w:tc>
        <w:tc>
          <w:tcPr>
            <w:tcW w:w="0" w:type="auto"/>
            <w:vAlign w:val="center"/>
            <w:hideMark/>
          </w:tcPr>
          <w:p w:rsidR="00AD0D69" w:rsidRPr="00BA3632" w:rsidRDefault="00881ACF" w:rsidP="00AD0D69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Respuesta favorable o no favorable de aplicación de embargo</w:t>
            </w:r>
          </w:p>
        </w:tc>
      </w:tr>
      <w:tr w:rsidR="00120FD5" w:rsidRPr="00BA3632" w:rsidTr="00E83583">
        <w:trPr>
          <w:jc w:val="center"/>
        </w:trPr>
        <w:tc>
          <w:tcPr>
            <w:tcW w:w="0" w:type="auto"/>
            <w:vAlign w:val="center"/>
          </w:tcPr>
          <w:p w:rsidR="00120FD5" w:rsidRPr="00BA3632" w:rsidRDefault="00120FD5" w:rsidP="00120FD5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12</w:t>
            </w:r>
          </w:p>
        </w:tc>
        <w:tc>
          <w:tcPr>
            <w:tcW w:w="0" w:type="auto"/>
            <w:vAlign w:val="center"/>
          </w:tcPr>
          <w:p w:rsidR="00120FD5" w:rsidRDefault="00120FD5" w:rsidP="00120FD5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Solicitar a RUNT información sobre vehículos a nombre del deudor </w:t>
            </w:r>
          </w:p>
        </w:tc>
        <w:tc>
          <w:tcPr>
            <w:tcW w:w="0" w:type="auto"/>
          </w:tcPr>
          <w:p w:rsidR="00120FD5" w:rsidRDefault="00120FD5" w:rsidP="00120FD5"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Grupo de Gestión de Cartera y Cobranza</w:t>
            </w:r>
          </w:p>
        </w:tc>
        <w:tc>
          <w:tcPr>
            <w:tcW w:w="0" w:type="auto"/>
            <w:vAlign w:val="center"/>
          </w:tcPr>
          <w:p w:rsidR="00120FD5" w:rsidRPr="00BA3632" w:rsidRDefault="00120FD5" w:rsidP="00120FD5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Oficios</w:t>
            </w:r>
          </w:p>
        </w:tc>
        <w:tc>
          <w:tcPr>
            <w:tcW w:w="0" w:type="auto"/>
            <w:vAlign w:val="center"/>
          </w:tcPr>
          <w:p w:rsidR="00120FD5" w:rsidRPr="00BA3632" w:rsidRDefault="00120FD5" w:rsidP="00120FD5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Respuesta favorable o no favorable vehículos registrados</w:t>
            </w:r>
          </w:p>
        </w:tc>
      </w:tr>
      <w:tr w:rsidR="00120FD5" w:rsidRPr="00BA3632" w:rsidTr="00E83583">
        <w:trPr>
          <w:jc w:val="center"/>
        </w:trPr>
        <w:tc>
          <w:tcPr>
            <w:tcW w:w="0" w:type="auto"/>
            <w:vAlign w:val="center"/>
          </w:tcPr>
          <w:p w:rsidR="00120FD5" w:rsidRPr="00BA3632" w:rsidRDefault="00120FD5" w:rsidP="00120FD5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13</w:t>
            </w:r>
          </w:p>
        </w:tc>
        <w:tc>
          <w:tcPr>
            <w:tcW w:w="0" w:type="auto"/>
            <w:vAlign w:val="center"/>
          </w:tcPr>
          <w:p w:rsidR="00120FD5" w:rsidRDefault="00120FD5" w:rsidP="00120FD5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Solicitar a Superintendencia de Notariado y Registro información sobre bienes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inmubles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 xml:space="preserve"> a nombre del deudor</w:t>
            </w:r>
          </w:p>
        </w:tc>
        <w:tc>
          <w:tcPr>
            <w:tcW w:w="0" w:type="auto"/>
          </w:tcPr>
          <w:p w:rsidR="00120FD5" w:rsidRDefault="00120FD5" w:rsidP="00120FD5"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Grupo de Gestión de Cartera y Cobranza</w:t>
            </w:r>
          </w:p>
        </w:tc>
        <w:tc>
          <w:tcPr>
            <w:tcW w:w="0" w:type="auto"/>
            <w:vAlign w:val="center"/>
          </w:tcPr>
          <w:p w:rsidR="00120FD5" w:rsidRPr="00BA3632" w:rsidRDefault="00120FD5" w:rsidP="00120FD5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Oficios</w:t>
            </w:r>
          </w:p>
        </w:tc>
        <w:tc>
          <w:tcPr>
            <w:tcW w:w="0" w:type="auto"/>
            <w:vAlign w:val="center"/>
          </w:tcPr>
          <w:p w:rsidR="00120FD5" w:rsidRPr="00BA3632" w:rsidRDefault="00120FD5" w:rsidP="00120FD5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Respuesta favorable o no favorable de bienes registrados</w:t>
            </w:r>
          </w:p>
        </w:tc>
      </w:tr>
      <w:tr w:rsidR="00881ACF" w:rsidRPr="00BA3632" w:rsidTr="00E83583">
        <w:trPr>
          <w:jc w:val="center"/>
        </w:trPr>
        <w:tc>
          <w:tcPr>
            <w:tcW w:w="0" w:type="auto"/>
            <w:vAlign w:val="center"/>
            <w:hideMark/>
          </w:tcPr>
          <w:p w:rsidR="00AD0D69" w:rsidRPr="00BA3632" w:rsidRDefault="00AD0D69" w:rsidP="00120FD5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1</w:t>
            </w:r>
            <w:r w:rsidR="00120FD5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D0D69" w:rsidRPr="00BA3632" w:rsidRDefault="00AD0D69" w:rsidP="00AD0D69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Practicar secuestro cuando proceda</w:t>
            </w:r>
          </w:p>
        </w:tc>
        <w:tc>
          <w:tcPr>
            <w:tcW w:w="0" w:type="auto"/>
            <w:hideMark/>
          </w:tcPr>
          <w:p w:rsidR="00AD0D69" w:rsidRDefault="00AD0D69" w:rsidP="00AD0D69"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Grupo de Gestión de Cartera y Cobranza</w:t>
            </w:r>
          </w:p>
        </w:tc>
        <w:tc>
          <w:tcPr>
            <w:tcW w:w="0" w:type="auto"/>
            <w:vAlign w:val="center"/>
            <w:hideMark/>
          </w:tcPr>
          <w:p w:rsidR="00AD0D69" w:rsidRPr="00BA3632" w:rsidRDefault="00AD0D69" w:rsidP="00AD0D69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Acta de secuestro</w:t>
            </w:r>
          </w:p>
        </w:tc>
        <w:tc>
          <w:tcPr>
            <w:tcW w:w="0" w:type="auto"/>
            <w:vAlign w:val="center"/>
            <w:hideMark/>
          </w:tcPr>
          <w:p w:rsidR="00AD0D69" w:rsidRPr="00BA3632" w:rsidRDefault="00AD0D69" w:rsidP="00AD0D69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Designación secuestre</w:t>
            </w:r>
          </w:p>
        </w:tc>
      </w:tr>
      <w:tr w:rsidR="00881ACF" w:rsidRPr="00BA3632" w:rsidTr="00E83583">
        <w:trPr>
          <w:jc w:val="center"/>
        </w:trPr>
        <w:tc>
          <w:tcPr>
            <w:tcW w:w="0" w:type="auto"/>
            <w:vAlign w:val="center"/>
            <w:hideMark/>
          </w:tcPr>
          <w:p w:rsidR="00AD0D69" w:rsidRPr="00BA3632" w:rsidRDefault="00120FD5" w:rsidP="00AD0D69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D0D69" w:rsidRPr="00BA3632" w:rsidRDefault="00AD0D69" w:rsidP="00AD0D69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Realizar liquidación de crédito y costas</w:t>
            </w:r>
          </w:p>
        </w:tc>
        <w:tc>
          <w:tcPr>
            <w:tcW w:w="0" w:type="auto"/>
            <w:hideMark/>
          </w:tcPr>
          <w:p w:rsidR="00AD0D69" w:rsidRDefault="00AD0D69" w:rsidP="00AD0D69"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Grupo de Gestión de Cartera y Cobranza</w:t>
            </w:r>
          </w:p>
        </w:tc>
        <w:tc>
          <w:tcPr>
            <w:tcW w:w="0" w:type="auto"/>
            <w:vAlign w:val="center"/>
            <w:hideMark/>
          </w:tcPr>
          <w:p w:rsidR="00AD0D69" w:rsidRPr="00BA3632" w:rsidRDefault="00AD0D69" w:rsidP="00AD0D69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Liquidación</w:t>
            </w:r>
          </w:p>
        </w:tc>
        <w:tc>
          <w:tcPr>
            <w:tcW w:w="0" w:type="auto"/>
            <w:vAlign w:val="center"/>
            <w:hideMark/>
          </w:tcPr>
          <w:p w:rsidR="00AD0D69" w:rsidRPr="00BA3632" w:rsidRDefault="00AD0D69" w:rsidP="00AD0D69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Aprobación</w:t>
            </w:r>
          </w:p>
        </w:tc>
      </w:tr>
      <w:tr w:rsidR="00881ACF" w:rsidRPr="00BA3632" w:rsidTr="00E83583">
        <w:trPr>
          <w:jc w:val="center"/>
        </w:trPr>
        <w:tc>
          <w:tcPr>
            <w:tcW w:w="0" w:type="auto"/>
            <w:vAlign w:val="center"/>
            <w:hideMark/>
          </w:tcPr>
          <w:p w:rsidR="00AD0D69" w:rsidRPr="00BA3632" w:rsidRDefault="00120FD5" w:rsidP="00AD0D69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D0D69" w:rsidRPr="00BA3632" w:rsidRDefault="00AD0D69" w:rsidP="00AD0D69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Suscribir acuerdos de pago dentro del proceso coactivo cuando proceda</w:t>
            </w:r>
          </w:p>
        </w:tc>
        <w:tc>
          <w:tcPr>
            <w:tcW w:w="0" w:type="auto"/>
            <w:hideMark/>
          </w:tcPr>
          <w:p w:rsidR="00AD0D69" w:rsidRDefault="00AD0D69" w:rsidP="00AD0D69"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Grupo de Gestión de Cartera y Cobranza</w:t>
            </w:r>
          </w:p>
        </w:tc>
        <w:tc>
          <w:tcPr>
            <w:tcW w:w="0" w:type="auto"/>
            <w:vAlign w:val="center"/>
            <w:hideMark/>
          </w:tcPr>
          <w:p w:rsidR="00AD0D69" w:rsidRPr="00BA3632" w:rsidRDefault="00AD0D69" w:rsidP="00AD0D69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Acuerdo suscrito</w:t>
            </w:r>
          </w:p>
        </w:tc>
        <w:tc>
          <w:tcPr>
            <w:tcW w:w="0" w:type="auto"/>
            <w:vAlign w:val="center"/>
            <w:hideMark/>
          </w:tcPr>
          <w:p w:rsidR="00AD0D69" w:rsidRPr="00BA3632" w:rsidRDefault="00AD0D69" w:rsidP="00AD0D69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Seguimiento</w:t>
            </w:r>
          </w:p>
        </w:tc>
      </w:tr>
      <w:tr w:rsidR="00881ACF" w:rsidRPr="00BA3632" w:rsidTr="00E83583">
        <w:trPr>
          <w:jc w:val="center"/>
        </w:trPr>
        <w:tc>
          <w:tcPr>
            <w:tcW w:w="0" w:type="auto"/>
            <w:vAlign w:val="center"/>
            <w:hideMark/>
          </w:tcPr>
          <w:p w:rsidR="00AD0D69" w:rsidRPr="00BA3632" w:rsidRDefault="00120FD5" w:rsidP="00AD0D69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D0D69" w:rsidRPr="00BA3632" w:rsidRDefault="00AD0D69" w:rsidP="00AD0D69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Terminar el proceso por pago, cumplimiento de acuerdo o causal legal</w:t>
            </w:r>
          </w:p>
        </w:tc>
        <w:tc>
          <w:tcPr>
            <w:tcW w:w="0" w:type="auto"/>
            <w:hideMark/>
          </w:tcPr>
          <w:p w:rsidR="00AD0D69" w:rsidRDefault="00AD0D69" w:rsidP="00AD0D69"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Grupo de Gestión de Cartera y Cobranza</w:t>
            </w:r>
          </w:p>
        </w:tc>
        <w:tc>
          <w:tcPr>
            <w:tcW w:w="0" w:type="auto"/>
            <w:vAlign w:val="center"/>
            <w:hideMark/>
          </w:tcPr>
          <w:p w:rsidR="00AD0D69" w:rsidRPr="00BA3632" w:rsidRDefault="00AD0D69" w:rsidP="00AD0D69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Acto administrativo</w:t>
            </w:r>
          </w:p>
        </w:tc>
        <w:tc>
          <w:tcPr>
            <w:tcW w:w="0" w:type="auto"/>
            <w:vAlign w:val="center"/>
            <w:hideMark/>
          </w:tcPr>
          <w:p w:rsidR="00AD0D69" w:rsidRPr="00BA3632" w:rsidRDefault="00AD0D69" w:rsidP="00AD0D69">
            <w:pPr>
              <w:widowControl/>
              <w:autoSpaceDE/>
              <w:autoSpaceDN/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</w:pPr>
            <w:r w:rsidRPr="00BA3632">
              <w:rPr>
                <w:rFonts w:ascii="Arial" w:eastAsia="Times New Roman" w:hAnsi="Arial" w:cs="Arial"/>
                <w:sz w:val="24"/>
                <w:szCs w:val="24"/>
                <w:lang w:val="es-CO" w:eastAsia="es-CO"/>
              </w:rPr>
              <w:t>Archivo expediente</w:t>
            </w:r>
          </w:p>
        </w:tc>
      </w:tr>
    </w:tbl>
    <w:p w:rsidR="00BA3632" w:rsidRPr="00BA3632" w:rsidRDefault="00BA3632" w:rsidP="008B0DEA">
      <w:pPr>
        <w:pStyle w:val="Ttulo1"/>
        <w:tabs>
          <w:tab w:val="left" w:pos="693"/>
          <w:tab w:val="left" w:pos="9697"/>
        </w:tabs>
        <w:ind w:left="0" w:firstLine="0"/>
        <w:rPr>
          <w:sz w:val="24"/>
          <w:szCs w:val="24"/>
        </w:rPr>
        <w:sectPr w:rsidR="00BA3632" w:rsidRPr="00BA3632" w:rsidSect="00C67F51">
          <w:headerReference w:type="default" r:id="rId7"/>
          <w:pgSz w:w="12240" w:h="15840"/>
          <w:pgMar w:top="1599" w:right="720" w:bottom="851" w:left="1440" w:header="618" w:footer="0" w:gutter="0"/>
          <w:cols w:space="720"/>
        </w:sectPr>
      </w:pPr>
    </w:p>
    <w:p w:rsidR="008B0DEA" w:rsidRPr="00BA3632" w:rsidRDefault="008B0DEA">
      <w:pPr>
        <w:pStyle w:val="Textoindependiente"/>
        <w:spacing w:before="21"/>
        <w:rPr>
          <w:rFonts w:ascii="Arial" w:hAnsi="Arial" w:cs="Arial"/>
          <w:b/>
          <w:sz w:val="24"/>
          <w:szCs w:val="24"/>
        </w:rPr>
      </w:pPr>
    </w:p>
    <w:p w:rsidR="002253FC" w:rsidRPr="00BA3632" w:rsidRDefault="008D2B2B">
      <w:pPr>
        <w:pStyle w:val="Ttulo1"/>
        <w:numPr>
          <w:ilvl w:val="0"/>
          <w:numId w:val="3"/>
        </w:numPr>
        <w:tabs>
          <w:tab w:val="left" w:pos="693"/>
          <w:tab w:val="left" w:pos="9697"/>
        </w:tabs>
        <w:ind w:left="693" w:hanging="431"/>
        <w:rPr>
          <w:sz w:val="24"/>
          <w:szCs w:val="24"/>
        </w:rPr>
      </w:pPr>
      <w:r w:rsidRPr="00BA3632">
        <w:rPr>
          <w:color w:val="000000"/>
          <w:sz w:val="24"/>
          <w:szCs w:val="24"/>
          <w:shd w:val="clear" w:color="auto" w:fill="BEBEBE"/>
        </w:rPr>
        <w:t>CONTROL</w:t>
      </w:r>
      <w:r w:rsidRPr="00BA3632">
        <w:rPr>
          <w:color w:val="000000"/>
          <w:spacing w:val="-5"/>
          <w:sz w:val="24"/>
          <w:szCs w:val="24"/>
          <w:shd w:val="clear" w:color="auto" w:fill="BEBEBE"/>
        </w:rPr>
        <w:t xml:space="preserve"> </w:t>
      </w:r>
      <w:r w:rsidRPr="00BA3632">
        <w:rPr>
          <w:color w:val="000000"/>
          <w:sz w:val="24"/>
          <w:szCs w:val="24"/>
          <w:shd w:val="clear" w:color="auto" w:fill="BEBEBE"/>
        </w:rPr>
        <w:t>DE</w:t>
      </w:r>
      <w:r w:rsidRPr="00BA3632">
        <w:rPr>
          <w:color w:val="000000"/>
          <w:spacing w:val="-5"/>
          <w:sz w:val="24"/>
          <w:szCs w:val="24"/>
          <w:shd w:val="clear" w:color="auto" w:fill="BEBEBE"/>
        </w:rPr>
        <w:t xml:space="preserve"> </w:t>
      </w:r>
      <w:r w:rsidRPr="00BA3632">
        <w:rPr>
          <w:color w:val="000000"/>
          <w:spacing w:val="-2"/>
          <w:sz w:val="24"/>
          <w:szCs w:val="24"/>
          <w:shd w:val="clear" w:color="auto" w:fill="BEBEBE"/>
        </w:rPr>
        <w:t>CAMBIOS</w:t>
      </w:r>
      <w:r w:rsidRPr="00BA3632">
        <w:rPr>
          <w:color w:val="000000"/>
          <w:sz w:val="24"/>
          <w:szCs w:val="24"/>
          <w:shd w:val="clear" w:color="auto" w:fill="BEBEBE"/>
        </w:rPr>
        <w:tab/>
      </w:r>
    </w:p>
    <w:p w:rsidR="002253FC" w:rsidRPr="00BA3632" w:rsidRDefault="002253FC">
      <w:pPr>
        <w:pStyle w:val="Textoindependiente"/>
        <w:spacing w:before="144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2178"/>
        <w:gridCol w:w="5715"/>
      </w:tblGrid>
      <w:tr w:rsidR="002253FC" w:rsidRPr="00BA3632">
        <w:trPr>
          <w:trHeight w:val="565"/>
        </w:trPr>
        <w:tc>
          <w:tcPr>
            <w:tcW w:w="1738" w:type="dxa"/>
            <w:shd w:val="clear" w:color="auto" w:fill="D9D9D9"/>
          </w:tcPr>
          <w:p w:rsidR="002253FC" w:rsidRPr="00BA3632" w:rsidRDefault="008D2B2B">
            <w:pPr>
              <w:pStyle w:val="TableParagraph"/>
              <w:spacing w:before="151"/>
              <w:ind w:left="9" w:right="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3632">
              <w:rPr>
                <w:rFonts w:ascii="Arial" w:hAnsi="Arial" w:cs="Arial"/>
                <w:b/>
                <w:spacing w:val="-2"/>
                <w:sz w:val="24"/>
                <w:szCs w:val="24"/>
              </w:rPr>
              <w:t>VERSIÓN</w:t>
            </w:r>
          </w:p>
        </w:tc>
        <w:tc>
          <w:tcPr>
            <w:tcW w:w="2178" w:type="dxa"/>
            <w:shd w:val="clear" w:color="auto" w:fill="D9D9D9"/>
          </w:tcPr>
          <w:p w:rsidR="002253FC" w:rsidRPr="00BA3632" w:rsidRDefault="008D2B2B">
            <w:pPr>
              <w:pStyle w:val="TableParagraph"/>
              <w:spacing w:before="26"/>
              <w:ind w:left="335" w:firstLine="189"/>
              <w:rPr>
                <w:rFonts w:ascii="Arial" w:hAnsi="Arial" w:cs="Arial"/>
                <w:b/>
                <w:sz w:val="24"/>
                <w:szCs w:val="24"/>
              </w:rPr>
            </w:pPr>
            <w:r w:rsidRPr="00BA3632">
              <w:rPr>
                <w:rFonts w:ascii="Arial" w:hAnsi="Arial" w:cs="Arial"/>
                <w:b/>
                <w:sz w:val="24"/>
                <w:szCs w:val="24"/>
              </w:rPr>
              <w:t xml:space="preserve">FECHA DE </w:t>
            </w:r>
            <w:r w:rsidRPr="00BA3632">
              <w:rPr>
                <w:rFonts w:ascii="Arial" w:hAnsi="Arial" w:cs="Arial"/>
                <w:b/>
                <w:spacing w:val="-2"/>
                <w:sz w:val="24"/>
                <w:szCs w:val="24"/>
              </w:rPr>
              <w:t>APROBACIÓN</w:t>
            </w:r>
          </w:p>
        </w:tc>
        <w:tc>
          <w:tcPr>
            <w:tcW w:w="5715" w:type="dxa"/>
            <w:shd w:val="clear" w:color="auto" w:fill="D9D9D9"/>
          </w:tcPr>
          <w:p w:rsidR="002253FC" w:rsidRPr="00BA3632" w:rsidRDefault="008D2B2B">
            <w:pPr>
              <w:pStyle w:val="TableParagraph"/>
              <w:spacing w:before="151"/>
              <w:ind w:left="608"/>
              <w:rPr>
                <w:rFonts w:ascii="Arial" w:hAnsi="Arial" w:cs="Arial"/>
                <w:b/>
                <w:sz w:val="24"/>
                <w:szCs w:val="24"/>
              </w:rPr>
            </w:pPr>
            <w:r w:rsidRPr="00BA3632">
              <w:rPr>
                <w:rFonts w:ascii="Arial" w:hAnsi="Arial" w:cs="Arial"/>
                <w:b/>
                <w:sz w:val="24"/>
                <w:szCs w:val="24"/>
              </w:rPr>
              <w:t>DESCRIPCIÓN</w:t>
            </w:r>
            <w:r w:rsidRPr="00BA3632">
              <w:rPr>
                <w:rFonts w:ascii="Arial" w:hAnsi="Arial" w:cs="Arial"/>
                <w:b/>
                <w:spacing w:val="-8"/>
                <w:sz w:val="24"/>
                <w:szCs w:val="24"/>
              </w:rPr>
              <w:t xml:space="preserve"> </w:t>
            </w:r>
            <w:r w:rsidRPr="00BA3632">
              <w:rPr>
                <w:rFonts w:ascii="Arial" w:hAnsi="Arial" w:cs="Arial"/>
                <w:b/>
                <w:sz w:val="24"/>
                <w:szCs w:val="24"/>
              </w:rPr>
              <w:t>DE</w:t>
            </w:r>
            <w:r w:rsidRPr="00BA3632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BA3632">
              <w:rPr>
                <w:rFonts w:ascii="Arial" w:hAnsi="Arial" w:cs="Arial"/>
                <w:b/>
                <w:sz w:val="24"/>
                <w:szCs w:val="24"/>
              </w:rPr>
              <w:t>CAMBIOS</w:t>
            </w:r>
            <w:r w:rsidRPr="00BA3632">
              <w:rPr>
                <w:rFonts w:ascii="Arial" w:hAnsi="Arial" w:cs="Arial"/>
                <w:b/>
                <w:spacing w:val="-7"/>
                <w:sz w:val="24"/>
                <w:szCs w:val="24"/>
              </w:rPr>
              <w:t xml:space="preserve"> </w:t>
            </w:r>
            <w:r w:rsidRPr="00BA3632">
              <w:rPr>
                <w:rFonts w:ascii="Arial" w:hAnsi="Arial" w:cs="Arial"/>
                <w:b/>
                <w:spacing w:val="-2"/>
                <w:sz w:val="24"/>
                <w:szCs w:val="24"/>
              </w:rPr>
              <w:t>REALIZADOS</w:t>
            </w:r>
          </w:p>
        </w:tc>
      </w:tr>
      <w:tr w:rsidR="00C67F51" w:rsidRPr="00BA3632" w:rsidTr="00C67F51">
        <w:trPr>
          <w:trHeight w:val="565"/>
        </w:trPr>
        <w:tc>
          <w:tcPr>
            <w:tcW w:w="1738" w:type="dxa"/>
            <w:shd w:val="clear" w:color="auto" w:fill="auto"/>
            <w:vAlign w:val="center"/>
          </w:tcPr>
          <w:p w:rsidR="00C67F51" w:rsidRPr="00C67F51" w:rsidRDefault="00C67F51" w:rsidP="00C67F51">
            <w:pPr>
              <w:pStyle w:val="TableParagraph"/>
              <w:spacing w:before="151"/>
              <w:ind w:left="9" w:right="2"/>
              <w:jc w:val="center"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  <w:r w:rsidRPr="00C67F51">
              <w:rPr>
                <w:rFonts w:ascii="Arial" w:hAnsi="Arial" w:cs="Arial"/>
                <w:b/>
                <w:spacing w:val="-2"/>
                <w:sz w:val="24"/>
                <w:szCs w:val="24"/>
              </w:rPr>
              <w:t>01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C67F51" w:rsidRPr="00C67F51" w:rsidRDefault="00F934FB" w:rsidP="00C67F51">
            <w:pPr>
              <w:pStyle w:val="TableParagraph"/>
              <w:spacing w:before="26"/>
              <w:ind w:left="335" w:firstLine="18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2026/06/25</w:t>
            </w:r>
          </w:p>
        </w:tc>
        <w:tc>
          <w:tcPr>
            <w:tcW w:w="5715" w:type="dxa"/>
            <w:shd w:val="clear" w:color="auto" w:fill="auto"/>
          </w:tcPr>
          <w:p w:rsidR="00C67F51" w:rsidRPr="00BA3632" w:rsidRDefault="00C67F51" w:rsidP="00C67F51">
            <w:pPr>
              <w:pStyle w:val="TableParagraph"/>
              <w:numPr>
                <w:ilvl w:val="0"/>
                <w:numId w:val="25"/>
              </w:numPr>
              <w:spacing w:before="151"/>
              <w:rPr>
                <w:rFonts w:ascii="Arial" w:hAnsi="Arial" w:cs="Arial"/>
                <w:b/>
                <w:sz w:val="24"/>
                <w:szCs w:val="24"/>
              </w:rPr>
            </w:pPr>
            <w:r w:rsidRPr="00C67F51">
              <w:rPr>
                <w:rFonts w:ascii="Arial" w:hAnsi="Arial" w:cs="Arial"/>
                <w:b/>
                <w:sz w:val="24"/>
                <w:szCs w:val="24"/>
              </w:rPr>
              <w:t>Aprobación inicial</w:t>
            </w:r>
            <w:r w:rsidR="00F934FB">
              <w:rPr>
                <w:rFonts w:ascii="Arial" w:hAnsi="Arial" w:cs="Arial"/>
                <w:b/>
                <w:sz w:val="24"/>
                <w:szCs w:val="24"/>
              </w:rPr>
              <w:t xml:space="preserve"> del documento</w:t>
            </w:r>
          </w:p>
        </w:tc>
      </w:tr>
    </w:tbl>
    <w:p w:rsidR="002253FC" w:rsidRPr="00BA3632" w:rsidRDefault="002253FC" w:rsidP="008B0DEA">
      <w:pPr>
        <w:pStyle w:val="Textoindependiente"/>
        <w:spacing w:before="4"/>
        <w:rPr>
          <w:rFonts w:ascii="Arial" w:hAnsi="Arial" w:cs="Arial"/>
          <w:b/>
          <w:sz w:val="24"/>
          <w:szCs w:val="24"/>
        </w:rPr>
      </w:pPr>
    </w:p>
    <w:sectPr w:rsidR="002253FC" w:rsidRPr="00BA3632">
      <w:pgSz w:w="12240" w:h="15840"/>
      <w:pgMar w:top="1600" w:right="720" w:bottom="280" w:left="1440" w:header="61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E78" w:rsidRDefault="00AF4E78">
      <w:r>
        <w:separator/>
      </w:r>
    </w:p>
  </w:endnote>
  <w:endnote w:type="continuationSeparator" w:id="0">
    <w:p w:rsidR="00AF4E78" w:rsidRDefault="00AF4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E78" w:rsidRDefault="00AF4E78">
      <w:r>
        <w:separator/>
      </w:r>
    </w:p>
  </w:footnote>
  <w:footnote w:type="continuationSeparator" w:id="0">
    <w:p w:rsidR="00AF4E78" w:rsidRDefault="00AF4E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3FC" w:rsidRDefault="00A06B78">
    <w:pPr>
      <w:pStyle w:val="Textoindependiente"/>
      <w:spacing w:line="14" w:lineRule="auto"/>
      <w:rPr>
        <w:sz w:val="20"/>
      </w:rPr>
    </w:pPr>
    <w:r w:rsidRPr="008538B1">
      <w:rPr>
        <w:rStyle w:val="Ttulo2Car"/>
        <w:rFonts w:eastAsia="Calibri"/>
        <w:noProof/>
        <w:lang w:val="es-CO" w:eastAsia="es-CO"/>
      </w:rPr>
      <w:drawing>
        <wp:anchor distT="0" distB="0" distL="114300" distR="114300" simplePos="0" relativeHeight="251678720" behindDoc="1" locked="0" layoutInCell="1" allowOverlap="1" wp14:anchorId="12E0A2D6" wp14:editId="4ED3AA3B">
          <wp:simplePos x="0" y="0"/>
          <wp:positionH relativeFrom="column">
            <wp:posOffset>-276225</wp:posOffset>
          </wp:positionH>
          <wp:positionV relativeFrom="paragraph">
            <wp:posOffset>-210020</wp:posOffset>
          </wp:positionV>
          <wp:extent cx="1650766" cy="680085"/>
          <wp:effectExtent l="0" t="0" r="6985" b="5715"/>
          <wp:wrapNone/>
          <wp:docPr id="13" name="Imagen 13" descr="ARRI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RIB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213"/>
                  <a:stretch/>
                </pic:blipFill>
                <pic:spPr bwMode="auto">
                  <a:xfrm>
                    <a:off x="0" y="0"/>
                    <a:ext cx="1650766" cy="680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val="es-CO" w:eastAsia="es-CO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46D99B3" wp14:editId="3BAE4B3C">
              <wp:simplePos x="0" y="0"/>
              <wp:positionH relativeFrom="page">
                <wp:posOffset>2324100</wp:posOffset>
              </wp:positionH>
              <wp:positionV relativeFrom="page">
                <wp:posOffset>438150</wp:posOffset>
              </wp:positionV>
              <wp:extent cx="4747895" cy="4622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47895" cy="4622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06B78" w:rsidRDefault="00A06B78" w:rsidP="00A06B78">
                          <w:pPr>
                            <w:spacing w:before="3"/>
                            <w:jc w:val="right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 w:rsidRPr="00A06B78">
                            <w:rPr>
                              <w:rFonts w:ascii="Arial"/>
                              <w:b/>
                              <w:sz w:val="24"/>
                            </w:rPr>
                            <w:t>PROCEDIMIENTO DE GESTI</w:t>
                          </w:r>
                          <w:r w:rsidRPr="00A06B78">
                            <w:rPr>
                              <w:rFonts w:ascii="Arial"/>
                              <w:b/>
                              <w:sz w:val="24"/>
                            </w:rPr>
                            <w:t>Ó</w:t>
                          </w:r>
                          <w:r w:rsidRPr="00A06B78">
                            <w:rPr>
                              <w:rFonts w:ascii="Arial"/>
                              <w:b/>
                              <w:sz w:val="24"/>
                            </w:rPr>
                            <w:t xml:space="preserve">N Y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R</w:t>
                          </w:r>
                          <w:r w:rsidRPr="00A06B78">
                            <w:rPr>
                              <w:rFonts w:ascii="Arial"/>
                              <w:b/>
                              <w:sz w:val="24"/>
                            </w:rPr>
                            <w:t>ECUPERACI</w:t>
                          </w:r>
                          <w:r w:rsidRPr="00A06B78">
                            <w:rPr>
                              <w:rFonts w:ascii="Arial"/>
                              <w:b/>
                              <w:sz w:val="24"/>
                            </w:rPr>
                            <w:t>Ó</w:t>
                          </w:r>
                          <w:r w:rsidRPr="00A06B78">
                            <w:rPr>
                              <w:rFonts w:ascii="Arial"/>
                              <w:b/>
                              <w:sz w:val="24"/>
                            </w:rPr>
                            <w:t>N DE CARTERA</w:t>
                          </w:r>
                        </w:p>
                        <w:p w:rsidR="00A06B78" w:rsidRDefault="008D2B2B" w:rsidP="00A06B78">
                          <w:pPr>
                            <w:spacing w:before="3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Código: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PRO-GF-</w:t>
                          </w:r>
                          <w:r w:rsidR="00F934FB">
                            <w:rPr>
                              <w:sz w:val="18"/>
                            </w:rPr>
                            <w:t>024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-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Versión: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01 </w:t>
                          </w:r>
                        </w:p>
                        <w:p w:rsidR="002253FC" w:rsidRDefault="008D2B2B" w:rsidP="00A06B78">
                          <w:pPr>
                            <w:spacing w:before="3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Vigente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desde: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 w:rsidR="00A06B78">
                            <w:rPr>
                              <w:spacing w:val="-2"/>
                              <w:sz w:val="18"/>
                            </w:rPr>
                            <w:t>2026/06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/</w:t>
                          </w:r>
                          <w:r w:rsidR="00F934FB">
                            <w:rPr>
                              <w:spacing w:val="-2"/>
                              <w:sz w:val="18"/>
                            </w:rPr>
                            <w:t>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46D99B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3pt;margin-top:34.5pt;width:373.85pt;height:36.4pt;z-index:-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" filled="f" stroked="f">
              <v:path arrowok="t"/>
              <v:textbox inset="0,0,0,0">
                <w:txbxContent>
                  <w:p w:rsidR="00A06B78" w:rsidRDefault="00A06B78" w:rsidP="00A06B78">
                    <w:pPr>
                      <w:spacing w:before="3"/>
                      <w:jc w:val="right"/>
                      <w:rPr>
                        <w:rFonts w:ascii="Arial"/>
                        <w:b/>
                        <w:sz w:val="24"/>
                      </w:rPr>
                    </w:pPr>
                    <w:r w:rsidRPr="00A06B78">
                      <w:rPr>
                        <w:rFonts w:ascii="Arial"/>
                        <w:b/>
                        <w:sz w:val="24"/>
                      </w:rPr>
                      <w:t>PROCEDIMIENTO DE GESTI</w:t>
                    </w:r>
                    <w:r w:rsidRPr="00A06B78">
                      <w:rPr>
                        <w:rFonts w:ascii="Arial"/>
                        <w:b/>
                        <w:sz w:val="24"/>
                      </w:rPr>
                      <w:t>Ó</w:t>
                    </w:r>
                    <w:r w:rsidRPr="00A06B78">
                      <w:rPr>
                        <w:rFonts w:ascii="Arial"/>
                        <w:b/>
                        <w:sz w:val="24"/>
                      </w:rPr>
                      <w:t xml:space="preserve">N Y </w:t>
                    </w:r>
                    <w:r>
                      <w:rPr>
                        <w:rFonts w:ascii="Arial"/>
                        <w:b/>
                        <w:sz w:val="24"/>
                      </w:rPr>
                      <w:t>R</w:t>
                    </w:r>
                    <w:r w:rsidRPr="00A06B78">
                      <w:rPr>
                        <w:rFonts w:ascii="Arial"/>
                        <w:b/>
                        <w:sz w:val="24"/>
                      </w:rPr>
                      <w:t>ECUPERACI</w:t>
                    </w:r>
                    <w:r w:rsidRPr="00A06B78">
                      <w:rPr>
                        <w:rFonts w:ascii="Arial"/>
                        <w:b/>
                        <w:sz w:val="24"/>
                      </w:rPr>
                      <w:t>Ó</w:t>
                    </w:r>
                    <w:r w:rsidRPr="00A06B78">
                      <w:rPr>
                        <w:rFonts w:ascii="Arial"/>
                        <w:b/>
                        <w:sz w:val="24"/>
                      </w:rPr>
                      <w:t>N DE CARTERA</w:t>
                    </w:r>
                  </w:p>
                  <w:p w:rsidR="00A06B78" w:rsidRDefault="008D2B2B" w:rsidP="00A06B78">
                    <w:pPr>
                      <w:spacing w:before="3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Código: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PRO-GF-</w:t>
                    </w:r>
                    <w:r w:rsidR="00F934FB">
                      <w:rPr>
                        <w:sz w:val="18"/>
                      </w:rPr>
                      <w:t>024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Versión: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01 </w:t>
                    </w:r>
                  </w:p>
                  <w:p w:rsidR="002253FC" w:rsidRDefault="008D2B2B" w:rsidP="00A06B78">
                    <w:pPr>
                      <w:spacing w:before="3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Vigente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desde: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 w:rsidR="00A06B78">
                      <w:rPr>
                        <w:spacing w:val="-2"/>
                        <w:sz w:val="18"/>
                      </w:rPr>
                      <w:t>2026/06</w:t>
                    </w:r>
                    <w:r>
                      <w:rPr>
                        <w:spacing w:val="-2"/>
                        <w:sz w:val="18"/>
                      </w:rPr>
                      <w:t>/</w:t>
                    </w:r>
                    <w:r w:rsidR="00F934FB">
                      <w:rPr>
                        <w:spacing w:val="-2"/>
                        <w:sz w:val="18"/>
                      </w:rPr>
                      <w:t>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125B"/>
    <w:multiLevelType w:val="multilevel"/>
    <w:tmpl w:val="E4E481B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14F65"/>
    <w:multiLevelType w:val="hybridMultilevel"/>
    <w:tmpl w:val="3EEA1FB6"/>
    <w:lvl w:ilvl="0" w:tplc="240A0001">
      <w:start w:val="1"/>
      <w:numFmt w:val="bullet"/>
      <w:lvlText w:val=""/>
      <w:lvlJc w:val="left"/>
      <w:pPr>
        <w:ind w:left="1018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2" w15:restartNumberingAfterBreak="0">
    <w:nsid w:val="0C537C05"/>
    <w:multiLevelType w:val="multilevel"/>
    <w:tmpl w:val="36E8B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65762"/>
    <w:multiLevelType w:val="multilevel"/>
    <w:tmpl w:val="00226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5820E0"/>
    <w:multiLevelType w:val="hybridMultilevel"/>
    <w:tmpl w:val="B9B84686"/>
    <w:lvl w:ilvl="0" w:tplc="D3143E28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0E14946C">
      <w:numFmt w:val="bullet"/>
      <w:lvlText w:val="•"/>
      <w:lvlJc w:val="left"/>
      <w:pPr>
        <w:ind w:left="654" w:hanging="360"/>
      </w:pPr>
      <w:rPr>
        <w:rFonts w:hint="default"/>
        <w:lang w:val="es-ES" w:eastAsia="en-US" w:bidi="ar-SA"/>
      </w:rPr>
    </w:lvl>
    <w:lvl w:ilvl="2" w:tplc="61FC7480">
      <w:numFmt w:val="bullet"/>
      <w:lvlText w:val="•"/>
      <w:lvlJc w:val="left"/>
      <w:pPr>
        <w:ind w:left="849" w:hanging="360"/>
      </w:pPr>
      <w:rPr>
        <w:rFonts w:hint="default"/>
        <w:lang w:val="es-ES" w:eastAsia="en-US" w:bidi="ar-SA"/>
      </w:rPr>
    </w:lvl>
    <w:lvl w:ilvl="3" w:tplc="CDFA8D46">
      <w:numFmt w:val="bullet"/>
      <w:lvlText w:val="•"/>
      <w:lvlJc w:val="left"/>
      <w:pPr>
        <w:ind w:left="1043" w:hanging="360"/>
      </w:pPr>
      <w:rPr>
        <w:rFonts w:hint="default"/>
        <w:lang w:val="es-ES" w:eastAsia="en-US" w:bidi="ar-SA"/>
      </w:rPr>
    </w:lvl>
    <w:lvl w:ilvl="4" w:tplc="3EF6B1BE">
      <w:numFmt w:val="bullet"/>
      <w:lvlText w:val="•"/>
      <w:lvlJc w:val="left"/>
      <w:pPr>
        <w:ind w:left="1238" w:hanging="360"/>
      </w:pPr>
      <w:rPr>
        <w:rFonts w:hint="default"/>
        <w:lang w:val="es-ES" w:eastAsia="en-US" w:bidi="ar-SA"/>
      </w:rPr>
    </w:lvl>
    <w:lvl w:ilvl="5" w:tplc="6C86CD1E">
      <w:numFmt w:val="bullet"/>
      <w:lvlText w:val="•"/>
      <w:lvlJc w:val="left"/>
      <w:pPr>
        <w:ind w:left="1433" w:hanging="360"/>
      </w:pPr>
      <w:rPr>
        <w:rFonts w:hint="default"/>
        <w:lang w:val="es-ES" w:eastAsia="en-US" w:bidi="ar-SA"/>
      </w:rPr>
    </w:lvl>
    <w:lvl w:ilvl="6" w:tplc="8EBA22AA">
      <w:numFmt w:val="bullet"/>
      <w:lvlText w:val="•"/>
      <w:lvlJc w:val="left"/>
      <w:pPr>
        <w:ind w:left="1627" w:hanging="360"/>
      </w:pPr>
      <w:rPr>
        <w:rFonts w:hint="default"/>
        <w:lang w:val="es-ES" w:eastAsia="en-US" w:bidi="ar-SA"/>
      </w:rPr>
    </w:lvl>
    <w:lvl w:ilvl="7" w:tplc="1E0AC3F2">
      <w:numFmt w:val="bullet"/>
      <w:lvlText w:val="•"/>
      <w:lvlJc w:val="left"/>
      <w:pPr>
        <w:ind w:left="1822" w:hanging="360"/>
      </w:pPr>
      <w:rPr>
        <w:rFonts w:hint="default"/>
        <w:lang w:val="es-ES" w:eastAsia="en-US" w:bidi="ar-SA"/>
      </w:rPr>
    </w:lvl>
    <w:lvl w:ilvl="8" w:tplc="A46E828C">
      <w:numFmt w:val="bullet"/>
      <w:lvlText w:val="•"/>
      <w:lvlJc w:val="left"/>
      <w:pPr>
        <w:ind w:left="2016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13392A7E"/>
    <w:multiLevelType w:val="hybridMultilevel"/>
    <w:tmpl w:val="991C321E"/>
    <w:lvl w:ilvl="0" w:tplc="3230B614">
      <w:numFmt w:val="bullet"/>
      <w:lvlText w:val="-"/>
      <w:lvlJc w:val="left"/>
      <w:pPr>
        <w:ind w:left="622" w:hanging="360"/>
      </w:pPr>
      <w:rPr>
        <w:rFonts w:ascii="Arial" w:eastAsia="Arial MT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34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</w:abstractNum>
  <w:abstractNum w:abstractNumId="6" w15:restartNumberingAfterBreak="0">
    <w:nsid w:val="16836638"/>
    <w:multiLevelType w:val="multilevel"/>
    <w:tmpl w:val="9AD0A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36779E"/>
    <w:multiLevelType w:val="multilevel"/>
    <w:tmpl w:val="91D2A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055753"/>
    <w:multiLevelType w:val="multilevel"/>
    <w:tmpl w:val="A22C0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6C0EC7"/>
    <w:multiLevelType w:val="multilevel"/>
    <w:tmpl w:val="8C401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BE4AC6"/>
    <w:multiLevelType w:val="multilevel"/>
    <w:tmpl w:val="A6989DC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61212F"/>
    <w:multiLevelType w:val="hybridMultilevel"/>
    <w:tmpl w:val="9B70A480"/>
    <w:lvl w:ilvl="0" w:tplc="34C4C136">
      <w:start w:val="1"/>
      <w:numFmt w:val="decimal"/>
      <w:lvlText w:val="%1."/>
      <w:lvlJc w:val="left"/>
      <w:pPr>
        <w:ind w:left="2984" w:hanging="432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shd w:val="clear" w:color="auto" w:fill="BEBEBE"/>
        <w:lang w:val="es-ES" w:eastAsia="en-US" w:bidi="ar-SA"/>
      </w:rPr>
    </w:lvl>
    <w:lvl w:ilvl="1" w:tplc="C918549E">
      <w:numFmt w:val="bullet"/>
      <w:lvlText w:val=""/>
      <w:lvlJc w:val="left"/>
      <w:pPr>
        <w:ind w:left="7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2" w:tplc="9300E042">
      <w:numFmt w:val="bullet"/>
      <w:lvlText w:val="•"/>
      <w:lvlJc w:val="left"/>
      <w:pPr>
        <w:ind w:left="760" w:hanging="360"/>
      </w:pPr>
      <w:rPr>
        <w:rFonts w:hint="default"/>
        <w:lang w:val="es-ES" w:eastAsia="en-US" w:bidi="ar-SA"/>
      </w:rPr>
    </w:lvl>
    <w:lvl w:ilvl="3" w:tplc="E456525C">
      <w:numFmt w:val="bullet"/>
      <w:lvlText w:val="•"/>
      <w:lvlJc w:val="left"/>
      <w:pPr>
        <w:ind w:left="1925" w:hanging="360"/>
      </w:pPr>
      <w:rPr>
        <w:rFonts w:hint="default"/>
        <w:lang w:val="es-ES" w:eastAsia="en-US" w:bidi="ar-SA"/>
      </w:rPr>
    </w:lvl>
    <w:lvl w:ilvl="4" w:tplc="EC481938">
      <w:numFmt w:val="bullet"/>
      <w:lvlText w:val="•"/>
      <w:lvlJc w:val="left"/>
      <w:pPr>
        <w:ind w:left="3090" w:hanging="360"/>
      </w:pPr>
      <w:rPr>
        <w:rFonts w:hint="default"/>
        <w:lang w:val="es-ES" w:eastAsia="en-US" w:bidi="ar-SA"/>
      </w:rPr>
    </w:lvl>
    <w:lvl w:ilvl="5" w:tplc="DB0C0F38">
      <w:numFmt w:val="bullet"/>
      <w:lvlText w:val="•"/>
      <w:lvlJc w:val="left"/>
      <w:pPr>
        <w:ind w:left="4255" w:hanging="360"/>
      </w:pPr>
      <w:rPr>
        <w:rFonts w:hint="default"/>
        <w:lang w:val="es-ES" w:eastAsia="en-US" w:bidi="ar-SA"/>
      </w:rPr>
    </w:lvl>
    <w:lvl w:ilvl="6" w:tplc="341C7452">
      <w:numFmt w:val="bullet"/>
      <w:lvlText w:val="•"/>
      <w:lvlJc w:val="left"/>
      <w:pPr>
        <w:ind w:left="5420" w:hanging="360"/>
      </w:pPr>
      <w:rPr>
        <w:rFonts w:hint="default"/>
        <w:lang w:val="es-ES" w:eastAsia="en-US" w:bidi="ar-SA"/>
      </w:rPr>
    </w:lvl>
    <w:lvl w:ilvl="7" w:tplc="DE46CA7C">
      <w:numFmt w:val="bullet"/>
      <w:lvlText w:val="•"/>
      <w:lvlJc w:val="left"/>
      <w:pPr>
        <w:ind w:left="6585" w:hanging="360"/>
      </w:pPr>
      <w:rPr>
        <w:rFonts w:hint="default"/>
        <w:lang w:val="es-ES" w:eastAsia="en-US" w:bidi="ar-SA"/>
      </w:rPr>
    </w:lvl>
    <w:lvl w:ilvl="8" w:tplc="9D10F3EC">
      <w:numFmt w:val="bullet"/>
      <w:lvlText w:val="•"/>
      <w:lvlJc w:val="left"/>
      <w:pPr>
        <w:ind w:left="7750" w:hanging="360"/>
      </w:pPr>
      <w:rPr>
        <w:rFonts w:hint="default"/>
        <w:lang w:val="es-ES" w:eastAsia="en-US" w:bidi="ar-SA"/>
      </w:rPr>
    </w:lvl>
  </w:abstractNum>
  <w:abstractNum w:abstractNumId="12" w15:restartNumberingAfterBreak="0">
    <w:nsid w:val="2D9909BE"/>
    <w:multiLevelType w:val="multilevel"/>
    <w:tmpl w:val="E6A87EF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192AFD"/>
    <w:multiLevelType w:val="multilevel"/>
    <w:tmpl w:val="C37E6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402095"/>
    <w:multiLevelType w:val="multilevel"/>
    <w:tmpl w:val="51DA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0F16F6"/>
    <w:multiLevelType w:val="multilevel"/>
    <w:tmpl w:val="1ADCE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2F0134"/>
    <w:multiLevelType w:val="hybridMultilevel"/>
    <w:tmpl w:val="36AE2934"/>
    <w:lvl w:ilvl="0" w:tplc="240A0001">
      <w:start w:val="1"/>
      <w:numFmt w:val="bullet"/>
      <w:lvlText w:val=""/>
      <w:lvlJc w:val="left"/>
      <w:pPr>
        <w:ind w:left="98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17" w15:restartNumberingAfterBreak="0">
    <w:nsid w:val="48785F24"/>
    <w:multiLevelType w:val="multilevel"/>
    <w:tmpl w:val="5538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361AB5"/>
    <w:multiLevelType w:val="multilevel"/>
    <w:tmpl w:val="826A8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1B43CD"/>
    <w:multiLevelType w:val="multilevel"/>
    <w:tmpl w:val="8C401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AF3129"/>
    <w:multiLevelType w:val="multilevel"/>
    <w:tmpl w:val="5AD40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8E3374"/>
    <w:multiLevelType w:val="hybridMultilevel"/>
    <w:tmpl w:val="55FC389C"/>
    <w:lvl w:ilvl="0" w:tplc="404AEB9A">
      <w:start w:val="1"/>
      <w:numFmt w:val="lowerLetter"/>
      <w:lvlText w:val="%1-"/>
      <w:lvlJc w:val="left"/>
      <w:pPr>
        <w:ind w:left="1394" w:hanging="569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s-ES" w:eastAsia="en-US" w:bidi="ar-SA"/>
      </w:rPr>
    </w:lvl>
    <w:lvl w:ilvl="1" w:tplc="FB721268">
      <w:numFmt w:val="bullet"/>
      <w:lvlText w:val="•"/>
      <w:lvlJc w:val="left"/>
      <w:pPr>
        <w:ind w:left="2268" w:hanging="569"/>
      </w:pPr>
      <w:rPr>
        <w:rFonts w:hint="default"/>
        <w:lang w:val="es-ES" w:eastAsia="en-US" w:bidi="ar-SA"/>
      </w:rPr>
    </w:lvl>
    <w:lvl w:ilvl="2" w:tplc="7C1CE3AC">
      <w:numFmt w:val="bullet"/>
      <w:lvlText w:val="•"/>
      <w:lvlJc w:val="left"/>
      <w:pPr>
        <w:ind w:left="3136" w:hanging="569"/>
      </w:pPr>
      <w:rPr>
        <w:rFonts w:hint="default"/>
        <w:lang w:val="es-ES" w:eastAsia="en-US" w:bidi="ar-SA"/>
      </w:rPr>
    </w:lvl>
    <w:lvl w:ilvl="3" w:tplc="FE92B4E8">
      <w:numFmt w:val="bullet"/>
      <w:lvlText w:val="•"/>
      <w:lvlJc w:val="left"/>
      <w:pPr>
        <w:ind w:left="4004" w:hanging="569"/>
      </w:pPr>
      <w:rPr>
        <w:rFonts w:hint="default"/>
        <w:lang w:val="es-ES" w:eastAsia="en-US" w:bidi="ar-SA"/>
      </w:rPr>
    </w:lvl>
    <w:lvl w:ilvl="4" w:tplc="A5E27264">
      <w:numFmt w:val="bullet"/>
      <w:lvlText w:val="•"/>
      <w:lvlJc w:val="left"/>
      <w:pPr>
        <w:ind w:left="4872" w:hanging="569"/>
      </w:pPr>
      <w:rPr>
        <w:rFonts w:hint="default"/>
        <w:lang w:val="es-ES" w:eastAsia="en-US" w:bidi="ar-SA"/>
      </w:rPr>
    </w:lvl>
    <w:lvl w:ilvl="5" w:tplc="CA42EB08">
      <w:numFmt w:val="bullet"/>
      <w:lvlText w:val="•"/>
      <w:lvlJc w:val="left"/>
      <w:pPr>
        <w:ind w:left="5740" w:hanging="569"/>
      </w:pPr>
      <w:rPr>
        <w:rFonts w:hint="default"/>
        <w:lang w:val="es-ES" w:eastAsia="en-US" w:bidi="ar-SA"/>
      </w:rPr>
    </w:lvl>
    <w:lvl w:ilvl="6" w:tplc="0F3A8462">
      <w:numFmt w:val="bullet"/>
      <w:lvlText w:val="•"/>
      <w:lvlJc w:val="left"/>
      <w:pPr>
        <w:ind w:left="6608" w:hanging="569"/>
      </w:pPr>
      <w:rPr>
        <w:rFonts w:hint="default"/>
        <w:lang w:val="es-ES" w:eastAsia="en-US" w:bidi="ar-SA"/>
      </w:rPr>
    </w:lvl>
    <w:lvl w:ilvl="7" w:tplc="127ECABC">
      <w:numFmt w:val="bullet"/>
      <w:lvlText w:val="•"/>
      <w:lvlJc w:val="left"/>
      <w:pPr>
        <w:ind w:left="7476" w:hanging="569"/>
      </w:pPr>
      <w:rPr>
        <w:rFonts w:hint="default"/>
        <w:lang w:val="es-ES" w:eastAsia="en-US" w:bidi="ar-SA"/>
      </w:rPr>
    </w:lvl>
    <w:lvl w:ilvl="8" w:tplc="0270F338">
      <w:numFmt w:val="bullet"/>
      <w:lvlText w:val="•"/>
      <w:lvlJc w:val="left"/>
      <w:pPr>
        <w:ind w:left="8344" w:hanging="569"/>
      </w:pPr>
      <w:rPr>
        <w:rFonts w:hint="default"/>
        <w:lang w:val="es-ES" w:eastAsia="en-US" w:bidi="ar-SA"/>
      </w:rPr>
    </w:lvl>
  </w:abstractNum>
  <w:abstractNum w:abstractNumId="22" w15:restartNumberingAfterBreak="0">
    <w:nsid w:val="660E69E3"/>
    <w:multiLevelType w:val="multilevel"/>
    <w:tmpl w:val="99F0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Theme="majorEastAsia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0E088A"/>
    <w:multiLevelType w:val="multilevel"/>
    <w:tmpl w:val="7854C1B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Arial MT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FA015B"/>
    <w:multiLevelType w:val="multilevel"/>
    <w:tmpl w:val="5E70530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1"/>
  </w:num>
  <w:num w:numId="3">
    <w:abstractNumId w:val="11"/>
  </w:num>
  <w:num w:numId="4">
    <w:abstractNumId w:val="5"/>
  </w:num>
  <w:num w:numId="5">
    <w:abstractNumId w:val="6"/>
  </w:num>
  <w:num w:numId="6">
    <w:abstractNumId w:val="20"/>
  </w:num>
  <w:num w:numId="7">
    <w:abstractNumId w:val="1"/>
  </w:num>
  <w:num w:numId="8">
    <w:abstractNumId w:val="15"/>
  </w:num>
  <w:num w:numId="9">
    <w:abstractNumId w:val="17"/>
  </w:num>
  <w:num w:numId="10">
    <w:abstractNumId w:val="8"/>
  </w:num>
  <w:num w:numId="11">
    <w:abstractNumId w:val="18"/>
  </w:num>
  <w:num w:numId="12">
    <w:abstractNumId w:val="22"/>
  </w:num>
  <w:num w:numId="13">
    <w:abstractNumId w:val="14"/>
  </w:num>
  <w:num w:numId="14">
    <w:abstractNumId w:val="16"/>
  </w:num>
  <w:num w:numId="15">
    <w:abstractNumId w:val="2"/>
  </w:num>
  <w:num w:numId="16">
    <w:abstractNumId w:val="7"/>
  </w:num>
  <w:num w:numId="17">
    <w:abstractNumId w:val="24"/>
  </w:num>
  <w:num w:numId="18">
    <w:abstractNumId w:val="12"/>
  </w:num>
  <w:num w:numId="19">
    <w:abstractNumId w:val="3"/>
  </w:num>
  <w:num w:numId="20">
    <w:abstractNumId w:val="13"/>
  </w:num>
  <w:num w:numId="21">
    <w:abstractNumId w:val="23"/>
  </w:num>
  <w:num w:numId="22">
    <w:abstractNumId w:val="0"/>
  </w:num>
  <w:num w:numId="23">
    <w:abstractNumId w:val="10"/>
  </w:num>
  <w:num w:numId="24">
    <w:abstractNumId w:val="19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3FC"/>
    <w:rsid w:val="00120FD5"/>
    <w:rsid w:val="001662EA"/>
    <w:rsid w:val="002253FC"/>
    <w:rsid w:val="00435264"/>
    <w:rsid w:val="006E2BD4"/>
    <w:rsid w:val="007A5B2D"/>
    <w:rsid w:val="00881ACF"/>
    <w:rsid w:val="008B0DEA"/>
    <w:rsid w:val="008D2B2B"/>
    <w:rsid w:val="00A06B78"/>
    <w:rsid w:val="00AD0D69"/>
    <w:rsid w:val="00AF4E78"/>
    <w:rsid w:val="00BA3632"/>
    <w:rsid w:val="00BA6E52"/>
    <w:rsid w:val="00C67F51"/>
    <w:rsid w:val="00D06D14"/>
    <w:rsid w:val="00E12FDC"/>
    <w:rsid w:val="00E92E90"/>
    <w:rsid w:val="00F9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84A6620"/>
  <w15:docId w15:val="{C70E4EB1-C84F-4BDD-ABB6-F4D1A2386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693" w:hanging="431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06B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A5B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2"/>
      <w:ind w:left="20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69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06B7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6B78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06B7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6B78"/>
    <w:rPr>
      <w:rFonts w:ascii="Arial MT" w:eastAsia="Arial MT" w:hAnsi="Arial MT" w:cs="Arial MT"/>
      <w:lang w:val="es-ES"/>
    </w:rPr>
  </w:style>
  <w:style w:type="character" w:customStyle="1" w:styleId="Ttulo2Car">
    <w:name w:val="Título 2 Car"/>
    <w:basedOn w:val="Fuentedeprrafopredeter"/>
    <w:link w:val="Ttulo2"/>
    <w:rsid w:val="00A06B7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  <w:style w:type="paragraph" w:styleId="NormalWeb">
    <w:name w:val="Normal (Web)"/>
    <w:basedOn w:val="Normal"/>
    <w:uiPriority w:val="99"/>
    <w:semiHidden/>
    <w:unhideWhenUsed/>
    <w:rsid w:val="0043526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7A5B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table" w:styleId="Tablaconcuadrcula">
    <w:name w:val="Table Grid"/>
    <w:basedOn w:val="Tablanormal"/>
    <w:uiPriority w:val="39"/>
    <w:rsid w:val="00BA3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1165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ANDRES LAMPREA ARROYO</cp:lastModifiedBy>
  <cp:revision>2</cp:revision>
  <dcterms:created xsi:type="dcterms:W3CDTF">2026-07-10T13:10:00Z</dcterms:created>
  <dcterms:modified xsi:type="dcterms:W3CDTF">2026-07-10T13:10:00Z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2022-02-28T00:00:00Z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2026-06-10T00:00:00Z</vt:filetime>
  </property>
  <property fmtid="{D5CDD505-2E9C-101B-9397-08002B2CF9AE}" pid="6" name="Producer">
    <vt:lpwstr>Microsoft® Word 2010</vt:lpwstr>
  </property>
</Properties>
</file>